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0B" w:rsidRDefault="0039360B" w:rsidP="0039360B">
      <w:pPr>
        <w:tabs>
          <w:tab w:val="left" w:pos="4253"/>
          <w:tab w:val="left" w:pos="4536"/>
        </w:tabs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E5671D">
        <w:rPr>
          <w:rFonts w:ascii="Arial" w:hAnsi="Arial" w:cs="Arial"/>
          <w:b/>
          <w:sz w:val="18"/>
          <w:szCs w:val="18"/>
        </w:rPr>
        <w:t xml:space="preserve">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</w:t>
      </w:r>
    </w:p>
    <w:p w:rsidR="0039360B" w:rsidRPr="0039360B" w:rsidRDefault="0039360B" w:rsidP="0039360B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39360B">
        <w:rPr>
          <w:rFonts w:ascii="Arial" w:hAnsi="Arial" w:cs="Arial"/>
          <w:color w:val="1F497D" w:themeColor="text2"/>
          <w:sz w:val="28"/>
          <w:szCs w:val="28"/>
        </w:rPr>
        <w:t>Missioni - Assistenza sanitaria all’estero</w:t>
      </w:r>
    </w:p>
    <w:p w:rsidR="0039360B" w:rsidRPr="0039360B" w:rsidRDefault="0039360B" w:rsidP="0039360B">
      <w:pPr>
        <w:rPr>
          <w:rFonts w:ascii="Arial" w:hAnsi="Arial" w:cs="Arial"/>
          <w:iCs/>
          <w:sz w:val="20"/>
          <w:szCs w:val="20"/>
        </w:rPr>
      </w:pPr>
      <w:r w:rsidRPr="0039360B">
        <w:rPr>
          <w:rFonts w:ascii="Arial" w:eastAsia="Times New Roman" w:hAnsi="Arial" w:cs="Arial"/>
          <w:sz w:val="20"/>
          <w:szCs w:val="20"/>
          <w:lang w:eastAsia="it-IT"/>
        </w:rPr>
        <w:t xml:space="preserve">Il personale dipendente che deve recarsi all'estero per motivi di lavoro (ricerca, partecipazione a congressi, ecc.), ha diritto all'assistenza sanitaria per tutta la durata del soggiorno. Le modalità e il tipo di copertura variano a seconda dello Stato di destinazione come precisato nel </w:t>
      </w:r>
      <w:hyperlink r:id="rId5" w:history="1">
        <w:r w:rsidRPr="0039360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sito del Ministero della Salute</w:t>
        </w:r>
      </w:hyperlink>
    </w:p>
    <w:p w:rsidR="0039360B" w:rsidRPr="0039360B" w:rsidRDefault="0039360B" w:rsidP="0039360B">
      <w:pPr>
        <w:pStyle w:val="Corpotesto"/>
        <w:ind w:left="0" w:right="-1"/>
        <w:jc w:val="both"/>
        <w:rPr>
          <w:rFonts w:ascii="Arial" w:hAnsi="Arial"/>
          <w:w w:val="105"/>
          <w:sz w:val="20"/>
          <w:szCs w:val="20"/>
        </w:rPr>
      </w:pPr>
      <w:proofErr w:type="spellStart"/>
      <w:r w:rsidRPr="0039360B">
        <w:rPr>
          <w:rFonts w:ascii="Arial" w:hAnsi="Arial"/>
          <w:iCs/>
          <w:sz w:val="20"/>
          <w:szCs w:val="20"/>
        </w:rPr>
        <w:t>Informiamo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che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proofErr w:type="gramStart"/>
      <w:r w:rsidRPr="0039360B">
        <w:rPr>
          <w:rFonts w:ascii="Arial" w:hAnsi="Arial"/>
          <w:iCs/>
          <w:sz w:val="20"/>
          <w:szCs w:val="20"/>
        </w:rPr>
        <w:t>il</w:t>
      </w:r>
      <w:proofErr w:type="spellEnd"/>
      <w:proofErr w:type="gram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Ministero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della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Salute, </w:t>
      </w:r>
      <w:proofErr w:type="spellStart"/>
      <w:r w:rsidRPr="0039360B">
        <w:rPr>
          <w:rFonts w:ascii="Arial" w:hAnsi="Arial"/>
          <w:iCs/>
          <w:sz w:val="20"/>
          <w:szCs w:val="20"/>
        </w:rPr>
        <w:t>Direzione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Generale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, ha </w:t>
      </w:r>
      <w:proofErr w:type="spellStart"/>
      <w:r w:rsidRPr="0039360B">
        <w:rPr>
          <w:rFonts w:ascii="Arial" w:hAnsi="Arial"/>
          <w:iCs/>
          <w:sz w:val="20"/>
          <w:szCs w:val="20"/>
        </w:rPr>
        <w:t>comunicato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con nota del 14 </w:t>
      </w:r>
      <w:proofErr w:type="spellStart"/>
      <w:r w:rsidRPr="0039360B">
        <w:rPr>
          <w:rFonts w:ascii="Arial" w:hAnsi="Arial"/>
          <w:iCs/>
          <w:sz w:val="20"/>
          <w:szCs w:val="20"/>
        </w:rPr>
        <w:t>marzo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u.s.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che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l’attestazione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per </w:t>
      </w:r>
      <w:proofErr w:type="spellStart"/>
      <w:r w:rsidRPr="0039360B">
        <w:rPr>
          <w:rFonts w:ascii="Arial" w:hAnsi="Arial"/>
          <w:iCs/>
          <w:sz w:val="20"/>
          <w:szCs w:val="20"/>
        </w:rPr>
        <w:t>l’assistenza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sanitaria </w:t>
      </w:r>
      <w:proofErr w:type="spellStart"/>
      <w:r w:rsidRPr="0039360B">
        <w:rPr>
          <w:rFonts w:ascii="Arial" w:hAnsi="Arial"/>
          <w:iCs/>
          <w:sz w:val="20"/>
          <w:szCs w:val="20"/>
        </w:rPr>
        <w:t>all’estero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può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essere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fornita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esclusivamente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dalla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Aziende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Sanitarie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Cs/>
          <w:sz w:val="20"/>
          <w:szCs w:val="20"/>
        </w:rPr>
        <w:t>Locali</w:t>
      </w:r>
      <w:proofErr w:type="spellEnd"/>
      <w:r w:rsidRPr="0039360B">
        <w:rPr>
          <w:rFonts w:ascii="Arial" w:hAnsi="Arial"/>
          <w:iCs/>
          <w:sz w:val="20"/>
          <w:szCs w:val="20"/>
        </w:rPr>
        <w:t xml:space="preserve"> (ASL) di </w:t>
      </w:r>
      <w:proofErr w:type="spellStart"/>
      <w:r w:rsidRPr="0039360B">
        <w:rPr>
          <w:rFonts w:ascii="Arial" w:hAnsi="Arial"/>
          <w:iCs/>
          <w:sz w:val="20"/>
          <w:szCs w:val="20"/>
        </w:rPr>
        <w:t>residenza</w:t>
      </w:r>
      <w:proofErr w:type="spellEnd"/>
      <w:r w:rsidRPr="0039360B">
        <w:rPr>
          <w:rFonts w:ascii="Arial" w:hAnsi="Arial"/>
          <w:iCs/>
          <w:sz w:val="20"/>
          <w:szCs w:val="20"/>
        </w:rPr>
        <w:t>.</w:t>
      </w:r>
    </w:p>
    <w:p w:rsidR="0039360B" w:rsidRPr="0039360B" w:rsidRDefault="0039360B" w:rsidP="0039360B">
      <w:pPr>
        <w:pStyle w:val="Corpotesto"/>
        <w:ind w:left="0" w:right="-1"/>
        <w:jc w:val="both"/>
        <w:rPr>
          <w:rFonts w:ascii="Arial" w:hAnsi="Arial"/>
          <w:w w:val="105"/>
          <w:sz w:val="20"/>
          <w:szCs w:val="20"/>
        </w:rPr>
      </w:pPr>
    </w:p>
    <w:p w:rsidR="0039360B" w:rsidRPr="0039360B" w:rsidRDefault="0039360B" w:rsidP="0039360B">
      <w:pPr>
        <w:pStyle w:val="Corpotesto"/>
        <w:ind w:left="0" w:right="-1"/>
        <w:jc w:val="both"/>
        <w:rPr>
          <w:rFonts w:ascii="Arial" w:hAnsi="Arial"/>
          <w:sz w:val="20"/>
          <w:szCs w:val="20"/>
        </w:rPr>
      </w:pPr>
      <w:proofErr w:type="spellStart"/>
      <w:r w:rsidRPr="0039360B">
        <w:rPr>
          <w:rFonts w:ascii="Arial" w:hAnsi="Arial"/>
          <w:w w:val="105"/>
          <w:sz w:val="20"/>
          <w:szCs w:val="20"/>
        </w:rPr>
        <w:t>L'articolo</w:t>
      </w:r>
      <w:proofErr w:type="spellEnd"/>
      <w:r w:rsidRPr="0039360B">
        <w:rPr>
          <w:rFonts w:ascii="Arial" w:hAnsi="Arial"/>
          <w:spacing w:val="40"/>
          <w:w w:val="105"/>
          <w:sz w:val="20"/>
          <w:szCs w:val="20"/>
        </w:rPr>
        <w:t xml:space="preserve"> </w:t>
      </w:r>
      <w:r w:rsidRPr="0039360B">
        <w:rPr>
          <w:rFonts w:ascii="Arial" w:hAnsi="Arial"/>
          <w:w w:val="105"/>
          <w:sz w:val="20"/>
          <w:szCs w:val="20"/>
        </w:rPr>
        <w:t xml:space="preserve">3, </w:t>
      </w:r>
      <w:r w:rsidRPr="0039360B">
        <w:rPr>
          <w:rFonts w:ascii="Arial" w:hAnsi="Arial"/>
          <w:sz w:val="20"/>
          <w:szCs w:val="20"/>
        </w:rPr>
        <w:t>comma</w:t>
      </w:r>
      <w:r w:rsidRPr="0039360B">
        <w:rPr>
          <w:rFonts w:ascii="Arial" w:hAnsi="Arial"/>
          <w:spacing w:val="33"/>
          <w:sz w:val="20"/>
          <w:szCs w:val="20"/>
        </w:rPr>
        <w:t xml:space="preserve"> </w:t>
      </w:r>
      <w:r w:rsidRPr="0039360B">
        <w:rPr>
          <w:rFonts w:ascii="Arial" w:hAnsi="Arial"/>
          <w:sz w:val="20"/>
          <w:szCs w:val="20"/>
        </w:rPr>
        <w:t>2,</w:t>
      </w:r>
      <w:r w:rsidRPr="0039360B">
        <w:rPr>
          <w:rFonts w:ascii="Arial" w:hAnsi="Arial"/>
          <w:spacing w:val="9"/>
          <w:sz w:val="20"/>
          <w:szCs w:val="20"/>
        </w:rPr>
        <w:t xml:space="preserve"> </w:t>
      </w:r>
      <w:proofErr w:type="gramStart"/>
      <w:r w:rsidRPr="0039360B">
        <w:rPr>
          <w:rFonts w:ascii="Arial" w:hAnsi="Arial"/>
          <w:spacing w:val="9"/>
          <w:sz w:val="20"/>
          <w:szCs w:val="20"/>
        </w:rPr>
        <w:t>del</w:t>
      </w:r>
      <w:proofErr w:type="gramEnd"/>
      <w:r w:rsidRPr="0039360B">
        <w:rPr>
          <w:rFonts w:ascii="Arial" w:hAnsi="Arial"/>
          <w:spacing w:val="9"/>
          <w:sz w:val="20"/>
          <w:szCs w:val="20"/>
        </w:rPr>
        <w:t xml:space="preserve"> citato </w:t>
      </w:r>
      <w:r w:rsidRPr="0039360B">
        <w:rPr>
          <w:rFonts w:ascii="Arial" w:hAnsi="Arial"/>
          <w:iCs/>
          <w:sz w:val="20"/>
          <w:szCs w:val="20"/>
        </w:rPr>
        <w:t>DPR 224/17,</w:t>
      </w:r>
      <w:r w:rsidRPr="0039360B">
        <w:rPr>
          <w:rFonts w:ascii="Arial" w:hAnsi="Arial"/>
          <w:spacing w:val="9"/>
          <w:sz w:val="20"/>
          <w:szCs w:val="20"/>
        </w:rPr>
        <w:t xml:space="preserve"> </w:t>
      </w:r>
      <w:r w:rsidRPr="0039360B">
        <w:rPr>
          <w:rFonts w:ascii="Arial" w:hAnsi="Arial"/>
          <w:sz w:val="20"/>
          <w:szCs w:val="20"/>
        </w:rPr>
        <w:t>pone</w:t>
      </w:r>
      <w:r w:rsidRPr="0039360B">
        <w:rPr>
          <w:rFonts w:ascii="Arial" w:hAnsi="Arial"/>
          <w:spacing w:val="31"/>
          <w:sz w:val="20"/>
          <w:szCs w:val="20"/>
        </w:rPr>
        <w:t xml:space="preserve"> </w:t>
      </w:r>
      <w:r w:rsidRPr="0039360B">
        <w:rPr>
          <w:rFonts w:ascii="Arial" w:hAnsi="Arial"/>
          <w:sz w:val="20"/>
          <w:szCs w:val="20"/>
        </w:rPr>
        <w:t>di</w:t>
      </w:r>
      <w:r w:rsidRPr="0039360B">
        <w:rPr>
          <w:rFonts w:ascii="Arial" w:hAnsi="Arial"/>
          <w:spacing w:val="28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esclusiva</w:t>
      </w:r>
      <w:proofErr w:type="spellEnd"/>
      <w:r w:rsidRPr="0039360B">
        <w:rPr>
          <w:rFonts w:ascii="Arial" w:hAnsi="Arial"/>
          <w:i/>
          <w:spacing w:val="31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competenza</w:t>
      </w:r>
      <w:proofErr w:type="spellEnd"/>
      <w:r w:rsidRPr="0039360B">
        <w:rPr>
          <w:rFonts w:ascii="Arial" w:hAnsi="Arial"/>
          <w:i/>
          <w:spacing w:val="38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della</w:t>
      </w:r>
      <w:proofErr w:type="spellEnd"/>
      <w:r w:rsidRPr="0039360B">
        <w:rPr>
          <w:rFonts w:ascii="Arial" w:hAnsi="Arial"/>
          <w:i/>
          <w:spacing w:val="21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z w:val="20"/>
          <w:szCs w:val="20"/>
          <w:u w:val="single"/>
        </w:rPr>
        <w:t>ASL</w:t>
      </w:r>
      <w:r w:rsidRPr="0039360B">
        <w:rPr>
          <w:rFonts w:ascii="Arial" w:hAnsi="Arial"/>
          <w:i/>
          <w:spacing w:val="39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il</w:t>
      </w:r>
      <w:proofErr w:type="spellEnd"/>
      <w:r w:rsidRPr="0039360B">
        <w:rPr>
          <w:rFonts w:ascii="Arial" w:hAnsi="Arial"/>
          <w:i/>
          <w:spacing w:val="22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rilascio</w:t>
      </w:r>
      <w:proofErr w:type="spellEnd"/>
      <w:r w:rsidRPr="0039360B">
        <w:rPr>
          <w:rFonts w:ascii="Arial" w:hAnsi="Arial"/>
          <w:i/>
          <w:sz w:val="20"/>
          <w:szCs w:val="20"/>
          <w:u w:val="single"/>
        </w:rPr>
        <w:t>,</w:t>
      </w:r>
      <w:r w:rsidRPr="0039360B">
        <w:rPr>
          <w:rFonts w:ascii="Arial" w:hAnsi="Arial"/>
          <w:i/>
          <w:spacing w:val="38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z w:val="20"/>
          <w:szCs w:val="20"/>
          <w:u w:val="single"/>
        </w:rPr>
        <w:t>per</w:t>
      </w:r>
      <w:r w:rsidRPr="0039360B">
        <w:rPr>
          <w:rFonts w:ascii="Arial" w:hAnsi="Arial"/>
          <w:i/>
          <w:spacing w:val="39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i</w:t>
      </w:r>
      <w:proofErr w:type="spellEnd"/>
      <w:r w:rsidRPr="0039360B">
        <w:rPr>
          <w:rFonts w:ascii="Arial" w:hAnsi="Arial"/>
          <w:i/>
          <w:spacing w:val="28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soggetti</w:t>
      </w:r>
      <w:proofErr w:type="spellEnd"/>
      <w:r w:rsidRPr="0039360B">
        <w:rPr>
          <w:rFonts w:ascii="Arial" w:hAnsi="Arial"/>
          <w:i/>
          <w:spacing w:val="38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ivi</w:t>
      </w:r>
      <w:proofErr w:type="spellEnd"/>
      <w:r w:rsidRPr="0039360B">
        <w:rPr>
          <w:rFonts w:ascii="Arial" w:hAnsi="Arial"/>
          <w:i/>
          <w:spacing w:val="38"/>
          <w:sz w:val="20"/>
          <w:szCs w:val="20"/>
          <w:u w:val="single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residenti</w:t>
      </w:r>
      <w:proofErr w:type="spellEnd"/>
      <w:r w:rsidRPr="0039360B">
        <w:rPr>
          <w:rFonts w:ascii="Arial" w:hAnsi="Arial"/>
          <w:i/>
          <w:sz w:val="20"/>
          <w:szCs w:val="20"/>
        </w:rPr>
        <w:t>,</w:t>
      </w:r>
      <w:r w:rsidRPr="0039360B">
        <w:rPr>
          <w:rFonts w:ascii="Arial" w:hAnsi="Arial"/>
          <w:i/>
          <w:w w:val="101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i/>
          <w:sz w:val="20"/>
          <w:szCs w:val="20"/>
          <w:u w:val="single"/>
        </w:rPr>
        <w:t>dell'attestato</w:t>
      </w:r>
      <w:proofErr w:type="spellEnd"/>
      <w:r w:rsidRPr="0039360B">
        <w:rPr>
          <w:rFonts w:ascii="Arial" w:hAnsi="Arial"/>
          <w:i/>
          <w:spacing w:val="36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z w:val="20"/>
          <w:szCs w:val="20"/>
          <w:u w:val="single"/>
        </w:rPr>
        <w:t>ex</w:t>
      </w:r>
      <w:r w:rsidRPr="0039360B">
        <w:rPr>
          <w:rFonts w:ascii="Arial" w:hAnsi="Arial"/>
          <w:i/>
          <w:spacing w:val="18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z w:val="20"/>
          <w:szCs w:val="20"/>
          <w:u w:val="single"/>
        </w:rPr>
        <w:t>art.</w:t>
      </w:r>
      <w:r w:rsidRPr="0039360B">
        <w:rPr>
          <w:rFonts w:ascii="Arial" w:hAnsi="Arial"/>
          <w:i/>
          <w:spacing w:val="46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z w:val="20"/>
          <w:szCs w:val="20"/>
          <w:u w:val="single"/>
        </w:rPr>
        <w:t>15</w:t>
      </w:r>
      <w:r w:rsidRPr="0039360B">
        <w:rPr>
          <w:rFonts w:ascii="Arial" w:hAnsi="Arial"/>
          <w:i/>
          <w:spacing w:val="9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z w:val="20"/>
          <w:szCs w:val="20"/>
          <w:u w:val="single"/>
        </w:rPr>
        <w:t>DPR</w:t>
      </w:r>
      <w:r w:rsidRPr="0039360B">
        <w:rPr>
          <w:rFonts w:ascii="Arial" w:hAnsi="Arial"/>
          <w:i/>
          <w:spacing w:val="41"/>
          <w:sz w:val="20"/>
          <w:szCs w:val="20"/>
          <w:u w:val="single"/>
        </w:rPr>
        <w:t xml:space="preserve"> </w:t>
      </w:r>
      <w:r w:rsidRPr="0039360B">
        <w:rPr>
          <w:rFonts w:ascii="Arial" w:hAnsi="Arial"/>
          <w:i/>
          <w:spacing w:val="2"/>
          <w:sz w:val="20"/>
          <w:szCs w:val="20"/>
          <w:u w:val="single"/>
        </w:rPr>
        <w:t>61</w:t>
      </w:r>
      <w:r w:rsidRPr="0039360B">
        <w:rPr>
          <w:rFonts w:ascii="Arial" w:hAnsi="Arial"/>
          <w:i/>
          <w:spacing w:val="1"/>
          <w:sz w:val="20"/>
          <w:szCs w:val="20"/>
          <w:u w:val="single"/>
        </w:rPr>
        <w:t>8/80</w:t>
      </w:r>
      <w:r w:rsidRPr="0039360B">
        <w:rPr>
          <w:rFonts w:ascii="Arial" w:hAnsi="Arial"/>
          <w:b/>
          <w:spacing w:val="1"/>
          <w:sz w:val="20"/>
          <w:szCs w:val="20"/>
        </w:rPr>
        <w:t>,</w:t>
      </w:r>
      <w:r w:rsidRPr="0039360B">
        <w:rPr>
          <w:rFonts w:ascii="Arial" w:hAnsi="Arial"/>
          <w:b/>
          <w:spacing w:val="24"/>
          <w:sz w:val="20"/>
          <w:szCs w:val="20"/>
        </w:rPr>
        <w:t xml:space="preserve"> </w:t>
      </w:r>
      <w:r w:rsidRPr="0039360B">
        <w:rPr>
          <w:rFonts w:ascii="Arial" w:hAnsi="Arial"/>
          <w:sz w:val="20"/>
          <w:szCs w:val="20"/>
        </w:rPr>
        <w:t>con</w:t>
      </w:r>
      <w:r w:rsidRPr="0039360B">
        <w:rPr>
          <w:rFonts w:ascii="Arial" w:hAnsi="Arial"/>
          <w:spacing w:val="39"/>
          <w:sz w:val="20"/>
          <w:szCs w:val="20"/>
        </w:rPr>
        <w:t xml:space="preserve"> </w:t>
      </w:r>
      <w:proofErr w:type="spellStart"/>
      <w:proofErr w:type="gramStart"/>
      <w:r w:rsidRPr="0039360B">
        <w:rPr>
          <w:rFonts w:ascii="Arial" w:hAnsi="Arial"/>
          <w:sz w:val="20"/>
          <w:szCs w:val="20"/>
        </w:rPr>
        <w:t>il</w:t>
      </w:r>
      <w:proofErr w:type="spellEnd"/>
      <w:proofErr w:type="gramEnd"/>
      <w:r w:rsidRPr="0039360B">
        <w:rPr>
          <w:rFonts w:ascii="Arial" w:hAnsi="Arial"/>
          <w:spacing w:val="35"/>
          <w:sz w:val="20"/>
          <w:szCs w:val="20"/>
        </w:rPr>
        <w:t xml:space="preserve"> </w:t>
      </w:r>
      <w:r w:rsidRPr="0039360B">
        <w:rPr>
          <w:rFonts w:ascii="Arial" w:hAnsi="Arial"/>
          <w:sz w:val="20"/>
          <w:szCs w:val="20"/>
        </w:rPr>
        <w:t>quale</w:t>
      </w:r>
      <w:r w:rsidRPr="0039360B">
        <w:rPr>
          <w:rFonts w:ascii="Arial" w:hAnsi="Arial"/>
          <w:spacing w:val="38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sz w:val="20"/>
          <w:szCs w:val="20"/>
        </w:rPr>
        <w:t>si</w:t>
      </w:r>
      <w:proofErr w:type="spellEnd"/>
      <w:r w:rsidRPr="0039360B">
        <w:rPr>
          <w:rFonts w:ascii="Arial" w:hAnsi="Arial"/>
          <w:spacing w:val="20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sz w:val="20"/>
          <w:szCs w:val="20"/>
        </w:rPr>
        <w:t>accerta</w:t>
      </w:r>
      <w:proofErr w:type="spellEnd"/>
      <w:r w:rsidRPr="0039360B">
        <w:rPr>
          <w:rFonts w:ascii="Arial" w:hAnsi="Arial"/>
          <w:spacing w:val="49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sz w:val="20"/>
          <w:szCs w:val="20"/>
        </w:rPr>
        <w:t>il</w:t>
      </w:r>
      <w:proofErr w:type="spellEnd"/>
      <w:r w:rsidRPr="0039360B">
        <w:rPr>
          <w:rFonts w:ascii="Arial" w:hAnsi="Arial"/>
          <w:spacing w:val="35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sz w:val="20"/>
          <w:szCs w:val="20"/>
        </w:rPr>
        <w:t>diritto</w:t>
      </w:r>
      <w:proofErr w:type="spellEnd"/>
      <w:r w:rsidRPr="0039360B">
        <w:rPr>
          <w:rFonts w:ascii="Arial" w:hAnsi="Arial"/>
          <w:spacing w:val="31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spacing w:val="5"/>
          <w:sz w:val="20"/>
          <w:szCs w:val="20"/>
        </w:rPr>
        <w:t>alla</w:t>
      </w:r>
      <w:proofErr w:type="spellEnd"/>
      <w:r w:rsidRPr="0039360B">
        <w:rPr>
          <w:rFonts w:ascii="Arial" w:hAnsi="Arial"/>
          <w:spacing w:val="22"/>
          <w:sz w:val="20"/>
          <w:szCs w:val="20"/>
        </w:rPr>
        <w:t xml:space="preserve"> </w:t>
      </w:r>
      <w:proofErr w:type="spellStart"/>
      <w:r w:rsidRPr="0039360B">
        <w:rPr>
          <w:rFonts w:ascii="Arial" w:hAnsi="Arial"/>
          <w:sz w:val="20"/>
          <w:szCs w:val="20"/>
        </w:rPr>
        <w:t>copertura</w:t>
      </w:r>
      <w:proofErr w:type="spellEnd"/>
      <w:r w:rsidRPr="0039360B">
        <w:rPr>
          <w:rFonts w:ascii="Arial" w:hAnsi="Arial"/>
          <w:spacing w:val="38"/>
          <w:sz w:val="20"/>
          <w:szCs w:val="20"/>
        </w:rPr>
        <w:t xml:space="preserve"> </w:t>
      </w:r>
      <w:r w:rsidRPr="0039360B">
        <w:rPr>
          <w:rFonts w:ascii="Arial" w:hAnsi="Arial"/>
          <w:sz w:val="20"/>
          <w:szCs w:val="20"/>
        </w:rPr>
        <w:t>sanitaria.</w:t>
      </w:r>
    </w:p>
    <w:p w:rsidR="0039360B" w:rsidRPr="0039360B" w:rsidRDefault="0039360B" w:rsidP="0039360B">
      <w:pPr>
        <w:tabs>
          <w:tab w:val="left" w:pos="4253"/>
          <w:tab w:val="left" w:pos="4536"/>
        </w:tabs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39360B" w:rsidRPr="0039360B" w:rsidRDefault="0039360B" w:rsidP="0039360B">
      <w:pPr>
        <w:tabs>
          <w:tab w:val="left" w:pos="4253"/>
          <w:tab w:val="left" w:pos="453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360B">
        <w:rPr>
          <w:rFonts w:ascii="Arial" w:hAnsi="Arial" w:cs="Arial"/>
          <w:b/>
          <w:color w:val="1F497D" w:themeColor="text2"/>
          <w:sz w:val="20"/>
          <w:szCs w:val="20"/>
        </w:rPr>
        <w:t xml:space="preserve">INFORMAZIONI SULL’ASSISTENZA SANITARIA ALL’ESTERO </w:t>
      </w:r>
      <w:r w:rsidRPr="0039360B">
        <w:rPr>
          <w:rFonts w:ascii="Arial" w:hAnsi="Arial" w:cs="Arial"/>
          <w:b/>
          <w:sz w:val="20"/>
          <w:szCs w:val="20"/>
          <w:u w:val="single"/>
        </w:rPr>
        <w:t>alla data del 7 febbraio 2019</w:t>
      </w:r>
    </w:p>
    <w:p w:rsidR="0039360B" w:rsidRPr="0039360B" w:rsidRDefault="0039360B" w:rsidP="003936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360B">
        <w:rPr>
          <w:rFonts w:ascii="Arial" w:hAnsi="Arial" w:cs="Arial"/>
          <w:sz w:val="20"/>
          <w:szCs w:val="20"/>
        </w:rPr>
        <w:t xml:space="preserve">Il personale dipendente e strutturato che deve recarsi all’estero per motivi di lavoro (ricerca, partecipazione a congressi, ecc.) </w:t>
      </w:r>
      <w:r w:rsidRPr="0039360B">
        <w:rPr>
          <w:rFonts w:ascii="Arial" w:hAnsi="Arial" w:cs="Arial"/>
          <w:i/>
          <w:color w:val="365F91" w:themeColor="accent1" w:themeShade="BF"/>
          <w:sz w:val="20"/>
          <w:szCs w:val="20"/>
        </w:rPr>
        <w:t>per conto dell’Ateneo</w:t>
      </w:r>
      <w:r w:rsidRPr="0039360B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eastAsia="it-IT"/>
        </w:rPr>
        <w:t xml:space="preserve"> </w:t>
      </w:r>
      <w:r w:rsidRPr="0039360B">
        <w:rPr>
          <w:rFonts w:ascii="Arial" w:eastAsia="Times New Roman" w:hAnsi="Arial" w:cs="Arial"/>
          <w:i/>
          <w:color w:val="1F497D" w:themeColor="text2"/>
          <w:sz w:val="20"/>
          <w:szCs w:val="20"/>
          <w:lang w:eastAsia="it-IT"/>
        </w:rPr>
        <w:t xml:space="preserve">negli Stati non Convenzionati o non comunitari, </w:t>
      </w:r>
      <w:r w:rsidRPr="0039360B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39360B">
        <w:rPr>
          <w:rFonts w:ascii="Arial" w:eastAsia="Times New Roman" w:hAnsi="Arial" w:cs="Arial"/>
          <w:i/>
          <w:color w:val="1F497D" w:themeColor="text2"/>
          <w:sz w:val="20"/>
          <w:szCs w:val="20"/>
          <w:lang w:eastAsia="it-IT"/>
        </w:rPr>
        <w:t xml:space="preserve">negli </w:t>
      </w:r>
      <w:r w:rsidRPr="0039360B">
        <w:rPr>
          <w:rFonts w:ascii="Arial" w:hAnsi="Arial" w:cs="Arial"/>
          <w:i/>
          <w:color w:val="1F497D" w:themeColor="text2"/>
          <w:sz w:val="20"/>
          <w:szCs w:val="20"/>
        </w:rPr>
        <w:t>Stati Uniti e Canada, ove vige una convenzione</w:t>
      </w:r>
      <w:r w:rsidRPr="0039360B">
        <w:rPr>
          <w:rFonts w:ascii="Arial" w:hAnsi="Arial" w:cs="Arial"/>
          <w:i/>
          <w:sz w:val="20"/>
          <w:szCs w:val="20"/>
        </w:rPr>
        <w:t>,</w:t>
      </w:r>
      <w:r w:rsidRPr="0039360B">
        <w:rPr>
          <w:rFonts w:ascii="Arial" w:hAnsi="Arial" w:cs="Arial"/>
          <w:sz w:val="20"/>
          <w:szCs w:val="20"/>
        </w:rPr>
        <w:t xml:space="preserve"> ha diritto alla copertura assistenziale per tutta la durata del soggiorno. Modalità e tipo di copertura variano a seconda dello Stato di destinazione.</w:t>
      </w:r>
    </w:p>
    <w:p w:rsidR="0039360B" w:rsidRPr="0039360B" w:rsidRDefault="0039360B" w:rsidP="0039360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1F497D" w:themeColor="text2"/>
          <w:sz w:val="20"/>
          <w:szCs w:val="20"/>
          <w:lang w:eastAsia="it-IT"/>
        </w:rPr>
      </w:pPr>
    </w:p>
    <w:p w:rsidR="0039360B" w:rsidRPr="0039360B" w:rsidRDefault="0039360B" w:rsidP="0039360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39360B">
        <w:rPr>
          <w:rFonts w:ascii="Arial" w:hAnsi="Arial" w:cs="Arial"/>
          <w:b/>
          <w:sz w:val="20"/>
          <w:szCs w:val="20"/>
          <w:u w:val="single"/>
        </w:rPr>
        <w:t>DESTINAZIONE E COPERTURA</w:t>
      </w:r>
      <w:r w:rsidRPr="0039360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9360B" w:rsidRPr="0039360B" w:rsidRDefault="0039360B" w:rsidP="0039360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9360B">
        <w:rPr>
          <w:rFonts w:ascii="Arial" w:hAnsi="Arial" w:cs="Arial"/>
          <w:sz w:val="20"/>
          <w:szCs w:val="20"/>
        </w:rPr>
        <w:t xml:space="preserve">- </w:t>
      </w:r>
      <w:r w:rsidRPr="0039360B">
        <w:rPr>
          <w:rFonts w:ascii="Arial" w:hAnsi="Arial" w:cs="Arial"/>
          <w:b/>
          <w:sz w:val="20"/>
          <w:szCs w:val="20"/>
        </w:rPr>
        <w:t>Nei</w:t>
      </w:r>
      <w:r w:rsidRPr="0039360B">
        <w:rPr>
          <w:rFonts w:ascii="Arial" w:hAnsi="Arial" w:cs="Arial"/>
          <w:sz w:val="20"/>
          <w:szCs w:val="20"/>
        </w:rPr>
        <w:t xml:space="preserve"> </w:t>
      </w:r>
      <w:r w:rsidRPr="0039360B">
        <w:rPr>
          <w:rFonts w:ascii="Arial" w:hAnsi="Arial" w:cs="Arial"/>
          <w:b/>
          <w:sz w:val="20"/>
          <w:szCs w:val="20"/>
        </w:rPr>
        <w:t xml:space="preserve">paesi dell’Unione Europea, nello Spazio Economico Europeo o in Svizzera, </w:t>
      </w:r>
      <w:r w:rsidRPr="0039360B">
        <w:rPr>
          <w:rFonts w:ascii="Arial" w:hAnsi="Arial" w:cs="Arial"/>
          <w:sz w:val="20"/>
          <w:szCs w:val="20"/>
        </w:rPr>
        <w:t xml:space="preserve">l’assistenza sanitaria è di tipo diretto, pertanto, sarà sufficiente recarsi all’estero in possesso della tessera sanitaria </w:t>
      </w:r>
      <w:r w:rsidRPr="0039360B">
        <w:rPr>
          <w:rFonts w:ascii="Arial" w:hAnsi="Arial" w:cs="Arial"/>
          <w:b/>
          <w:sz w:val="20"/>
          <w:szCs w:val="20"/>
        </w:rPr>
        <w:t xml:space="preserve">(tessera sanitaria TEAM). </w:t>
      </w:r>
    </w:p>
    <w:p w:rsidR="0039360B" w:rsidRPr="0039360B" w:rsidRDefault="0039360B" w:rsidP="0039360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360B">
        <w:rPr>
          <w:rFonts w:ascii="Arial" w:hAnsi="Arial" w:cs="Arial"/>
          <w:b/>
          <w:sz w:val="20"/>
          <w:szCs w:val="20"/>
        </w:rPr>
        <w:t>-  Nei paesi Extra europei</w:t>
      </w:r>
      <w:r w:rsidRPr="0039360B">
        <w:rPr>
          <w:rFonts w:ascii="Arial" w:hAnsi="Arial" w:cs="Arial"/>
          <w:sz w:val="20"/>
          <w:szCs w:val="20"/>
        </w:rPr>
        <w:t xml:space="preserve"> l'assistenza sanitaria </w:t>
      </w:r>
      <w:r w:rsidRPr="0039360B">
        <w:rPr>
          <w:rFonts w:ascii="Arial" w:hAnsi="Arial" w:cs="Arial"/>
          <w:sz w:val="20"/>
          <w:szCs w:val="20"/>
          <w:u w:val="single"/>
        </w:rPr>
        <w:t>è indiretta,</w:t>
      </w:r>
      <w:r w:rsidRPr="0039360B">
        <w:rPr>
          <w:rFonts w:ascii="Arial" w:hAnsi="Arial" w:cs="Arial"/>
          <w:sz w:val="20"/>
          <w:szCs w:val="20"/>
        </w:rPr>
        <w:t xml:space="preserve"> chiedere quindi il rilascio dell’attestato ex art. 15 D.P.R. 618/80 alla ASL di residenza, ovvero si anticipano le spese e poi si chiede il rimborso </w:t>
      </w:r>
      <w:r w:rsidRPr="0039360B">
        <w:rPr>
          <w:rFonts w:ascii="Arial" w:hAnsi="Arial" w:cs="Arial"/>
          <w:b/>
          <w:bCs/>
          <w:sz w:val="20"/>
          <w:szCs w:val="20"/>
        </w:rPr>
        <w:t>tramite Ambasciata o Consolato italiani all’estero territorialmente competenti,</w:t>
      </w:r>
      <w:r w:rsidRPr="0039360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entro tre mesi</w:t>
      </w:r>
      <w:r w:rsidRPr="0039360B">
        <w:rPr>
          <w:rFonts w:ascii="Arial" w:eastAsia="Times New Roman" w:hAnsi="Arial" w:cs="Arial"/>
          <w:sz w:val="20"/>
          <w:szCs w:val="20"/>
          <w:lang w:eastAsia="it-IT"/>
        </w:rPr>
        <w:t xml:space="preserve"> dalla data di effettuazione dell'ultima spesa correlata ad un singolo evento morboso, </w:t>
      </w:r>
      <w:r w:rsidRPr="0039360B">
        <w:rPr>
          <w:rFonts w:ascii="Arial" w:hAnsi="Arial" w:cs="Arial"/>
          <w:sz w:val="20"/>
          <w:szCs w:val="20"/>
        </w:rPr>
        <w:t xml:space="preserve">salvo non ritenga più opportuno accendere apposita polizza sanitaria il cui costo viene rimborsato dall’Ateneo ai sensi dell’art 16, comma 5, </w:t>
      </w:r>
      <w:proofErr w:type="spellStart"/>
      <w:r w:rsidRPr="0039360B">
        <w:rPr>
          <w:rFonts w:ascii="Arial" w:hAnsi="Arial" w:cs="Arial"/>
          <w:sz w:val="20"/>
          <w:szCs w:val="20"/>
        </w:rPr>
        <w:t>lett</w:t>
      </w:r>
      <w:proofErr w:type="spellEnd"/>
      <w:r w:rsidRPr="0039360B">
        <w:rPr>
          <w:rFonts w:ascii="Arial" w:hAnsi="Arial" w:cs="Arial"/>
          <w:sz w:val="20"/>
          <w:szCs w:val="20"/>
        </w:rPr>
        <w:t xml:space="preserve">. C del Regolamento Missioni. </w:t>
      </w:r>
    </w:p>
    <w:p w:rsidR="0039360B" w:rsidRPr="0039360B" w:rsidRDefault="0039360B" w:rsidP="0039360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360B">
        <w:rPr>
          <w:rFonts w:ascii="Arial" w:hAnsi="Arial" w:cs="Arial"/>
          <w:b/>
          <w:sz w:val="20"/>
          <w:szCs w:val="20"/>
        </w:rPr>
        <w:t xml:space="preserve">- Negli Stati Uniti e in Canada l’assistenza sanitaria per i dipendenti pubblici in servizio negli Stati Uniti d’America e i relativi familiari al seguito, </w:t>
      </w:r>
      <w:r w:rsidRPr="0039360B">
        <w:rPr>
          <w:rFonts w:ascii="Arial" w:hAnsi="Arial" w:cs="Arial"/>
          <w:b/>
          <w:sz w:val="20"/>
          <w:szCs w:val="20"/>
          <w:u w:val="single"/>
        </w:rPr>
        <w:t>è diretta,</w:t>
      </w:r>
      <w:r w:rsidRPr="0039360B">
        <w:rPr>
          <w:rFonts w:ascii="Arial" w:hAnsi="Arial" w:cs="Arial"/>
          <w:b/>
          <w:sz w:val="20"/>
          <w:szCs w:val="20"/>
        </w:rPr>
        <w:t xml:space="preserve"> </w:t>
      </w:r>
      <w:r w:rsidRPr="0039360B">
        <w:rPr>
          <w:rFonts w:ascii="Arial" w:hAnsi="Arial" w:cs="Arial"/>
          <w:sz w:val="20"/>
          <w:szCs w:val="20"/>
        </w:rPr>
        <w:t>si dovrà comunque chiedere quindi il rilascio dell’attestato ex art. 15 D.P.R. 618/80 alla ASL di residenza</w:t>
      </w:r>
      <w:r w:rsidRPr="0039360B">
        <w:rPr>
          <w:rFonts w:ascii="Arial" w:hAnsi="Arial" w:cs="Arial"/>
          <w:b/>
          <w:sz w:val="20"/>
          <w:szCs w:val="20"/>
        </w:rPr>
        <w:t xml:space="preserve">. </w:t>
      </w:r>
      <w:r w:rsidRPr="0039360B">
        <w:rPr>
          <w:rFonts w:ascii="Arial" w:hAnsi="Arial" w:cs="Arial"/>
          <w:sz w:val="20"/>
          <w:szCs w:val="20"/>
        </w:rPr>
        <w:t xml:space="preserve">Il dipendente che accende una polizza sanitaria privatamente non potrà richiedere il rimborso all’Ateneo. </w:t>
      </w:r>
    </w:p>
    <w:p w:rsidR="00A13301" w:rsidRPr="00A13301" w:rsidRDefault="0039360B" w:rsidP="0039360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360B">
        <w:rPr>
          <w:rFonts w:ascii="Arial" w:hAnsi="Arial" w:cs="Arial"/>
          <w:sz w:val="20"/>
          <w:szCs w:val="20"/>
        </w:rPr>
        <w:t xml:space="preserve">L'interessato, per avviare la pratica relativa all’assistenza sanitaria al di fuori dell’Unione Europea dovrà richiedere la vidimazione dell'attestato per l’assistenza sanitaria all’estero, ex art. 15 D.P.R. 618/80, all’ASL di residenza, munito di Tessera Sanitaria, dichiarazione autorizzata della Missione da cui risultino il motivo e il periodo di permanenza all'estero. </w:t>
      </w:r>
      <w:r w:rsidRPr="0039360B">
        <w:rPr>
          <w:rFonts w:ascii="Arial" w:hAnsi="Arial" w:cs="Arial"/>
          <w:b/>
          <w:i/>
          <w:color w:val="365F91" w:themeColor="accent1" w:themeShade="BF"/>
          <w:sz w:val="20"/>
          <w:szCs w:val="20"/>
          <w:u w:val="single"/>
        </w:rPr>
        <w:t>Le date dell’autorizzazione della Missione devono coincidere con quelle indicate nell'attestato,</w:t>
      </w:r>
      <w:r w:rsidRPr="0039360B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Pr="0039360B">
        <w:rPr>
          <w:rFonts w:ascii="Arial" w:hAnsi="Arial" w:cs="Arial"/>
          <w:sz w:val="20"/>
          <w:szCs w:val="20"/>
        </w:rPr>
        <w:t>Viene quindi rilasciata una copia dell'attestato che il dipendente dovrà portare con sé assieme</w:t>
      </w:r>
      <w:r w:rsidRPr="00E5671D">
        <w:rPr>
          <w:rFonts w:ascii="Arial" w:hAnsi="Arial" w:cs="Arial"/>
          <w:sz w:val="18"/>
          <w:szCs w:val="18"/>
        </w:rPr>
        <w:t xml:space="preserve"> alla autorizzazione della Missione.</w:t>
      </w:r>
    </w:p>
    <w:p w:rsidR="006245E1" w:rsidRDefault="006245E1" w:rsidP="006245E1">
      <w:pPr>
        <w:rPr>
          <w:rFonts w:ascii="Arial" w:hAnsi="Arial" w:cs="Arial"/>
          <w:iCs/>
          <w:sz w:val="20"/>
          <w:szCs w:val="20"/>
        </w:rPr>
      </w:pPr>
    </w:p>
    <w:p w:rsidR="00BA0BEB" w:rsidRDefault="00BA0BEB" w:rsidP="006245E1">
      <w:pPr>
        <w:rPr>
          <w:rFonts w:ascii="Arial" w:hAnsi="Arial" w:cs="Arial"/>
          <w:iCs/>
          <w:sz w:val="20"/>
          <w:szCs w:val="20"/>
        </w:rPr>
      </w:pPr>
    </w:p>
    <w:p w:rsidR="00BA0BEB" w:rsidRPr="00BA0BEB" w:rsidRDefault="00BA0BEB" w:rsidP="006245E1">
      <w:pPr>
        <w:rPr>
          <w:rFonts w:ascii="Arial" w:hAnsi="Arial" w:cs="Arial"/>
          <w:iCs/>
          <w:sz w:val="20"/>
          <w:szCs w:val="20"/>
        </w:rPr>
      </w:pPr>
    </w:p>
    <w:p w:rsidR="006245E1" w:rsidRPr="006245E1" w:rsidRDefault="006245E1" w:rsidP="00624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245E1" w:rsidRDefault="006245E1" w:rsidP="006245E1"/>
    <w:sectPr w:rsidR="00624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7C1E"/>
    <w:multiLevelType w:val="multilevel"/>
    <w:tmpl w:val="A684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2"/>
    <w:rsid w:val="0039360B"/>
    <w:rsid w:val="00406045"/>
    <w:rsid w:val="004E7BB2"/>
    <w:rsid w:val="006245E1"/>
    <w:rsid w:val="00833D32"/>
    <w:rsid w:val="00A13301"/>
    <w:rsid w:val="00AA2C11"/>
    <w:rsid w:val="00B54222"/>
    <w:rsid w:val="00BA0BEB"/>
    <w:rsid w:val="00D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C9B65-0ED6-4FA7-92D7-80B9DC5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24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7BB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7BB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33D32"/>
    <w:pPr>
      <w:widowControl w:val="0"/>
      <w:spacing w:after="0" w:line="240" w:lineRule="auto"/>
      <w:ind w:left="1368"/>
    </w:pPr>
    <w:rPr>
      <w:rFonts w:ascii="Times New Roman" w:eastAsia="Times New Roman" w:hAnsi="Times New Roman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3D32"/>
    <w:rPr>
      <w:rFonts w:ascii="Times New Roman" w:eastAsia="Times New Roman" w:hAnsi="Times New Roman" w:cs="Arial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D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45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6245E1"/>
    <w:rPr>
      <w:i/>
      <w:iCs/>
    </w:rPr>
  </w:style>
  <w:style w:type="character" w:styleId="Enfasigrassetto">
    <w:name w:val="Strong"/>
    <w:basedOn w:val="Carpredefinitoparagrafo"/>
    <w:uiPriority w:val="22"/>
    <w:qFormat/>
    <w:rsid w:val="00624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ute.gov.it/portale/temi/p2_6.jsp?id=897&amp;area=Assistenza%20sanitaria&amp;menu=itali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2829</Characters>
  <Application>Microsoft Office Word</Application>
  <DocSecurity>0</DocSecurity>
  <Lines>45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vegrlor49438</dc:creator>
  <cp:lastModifiedBy>Vegro Lorenzina</cp:lastModifiedBy>
  <cp:revision>2</cp:revision>
  <cp:lastPrinted>2019-04-04T10:17:00Z</cp:lastPrinted>
  <dcterms:created xsi:type="dcterms:W3CDTF">2025-01-31T09:16:00Z</dcterms:created>
  <dcterms:modified xsi:type="dcterms:W3CDTF">2025-01-31T09:16:00Z</dcterms:modified>
</cp:coreProperties>
</file>