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2"/>
          <w:szCs w:val="22"/>
          <w:lang w:val="en-US"/>
        </w:rPr>
      </w:pPr>
    </w:p>
    <w:p>
      <w:pPr>
        <w:jc w:val="center"/>
        <w:rPr>
          <w:rFonts w:ascii="Arial" w:hAnsi="Arial" w:cs="Arial"/>
          <w:b/>
          <w:sz w:val="22"/>
          <w:szCs w:val="22"/>
          <w:lang w:val="en-US"/>
        </w:rPr>
      </w:pPr>
    </w:p>
    <w:p>
      <w:pPr>
        <w:jc w:val="center"/>
        <w:rPr>
          <w:rFonts w:ascii="Arial" w:hAnsi="Arial" w:cs="Arial"/>
          <w:b/>
          <w:bCs/>
          <w:sz w:val="22"/>
          <w:szCs w:val="22"/>
          <w:u w:val="single"/>
          <w:lang w:val="en"/>
        </w:rPr>
      </w:pPr>
      <w:r>
        <w:rPr>
          <w:rFonts w:ascii="Arial" w:hAnsi="Arial" w:cs="Arial"/>
          <w:b/>
          <w:bCs/>
          <w:sz w:val="22"/>
          <w:szCs w:val="22"/>
          <w:u w:val="single"/>
          <w:lang w:val="en"/>
        </w:rPr>
        <w:t xml:space="preserve">CALL FOR APPLICATIONS FOR No.25 PLACES FOR THE VIRTUAL EXCHANGE “INDUSTRY COMMUNITY PROJECT UNIT - ICPU” </w:t>
      </w:r>
    </w:p>
    <w:p>
      <w:pPr>
        <w:jc w:val="center"/>
        <w:rPr>
          <w:rFonts w:ascii="Arial" w:hAnsi="Arial" w:cs="Arial"/>
          <w:b/>
          <w:bCs/>
          <w:sz w:val="22"/>
          <w:szCs w:val="22"/>
          <w:u w:val="single"/>
          <w:lang w:val="en"/>
        </w:rPr>
      </w:pPr>
    </w:p>
    <w:p>
      <w:pPr>
        <w:jc w:val="center"/>
        <w:rPr>
          <w:rFonts w:ascii="Arial" w:hAnsi="Arial" w:cs="Arial"/>
          <w:b/>
          <w:sz w:val="22"/>
          <w:szCs w:val="22"/>
          <w:u w:val="single"/>
          <w:lang w:val="en-US"/>
        </w:rPr>
      </w:pPr>
      <w:r>
        <w:rPr>
          <w:rFonts w:ascii="Arial" w:hAnsi="Arial" w:cs="Arial"/>
          <w:b/>
          <w:bCs/>
          <w:sz w:val="22"/>
          <w:szCs w:val="22"/>
          <w:u w:val="single"/>
          <w:lang w:val="en"/>
        </w:rPr>
        <w:t>Year 2021</w:t>
      </w:r>
    </w:p>
    <w:p>
      <w:pPr>
        <w:jc w:val="both"/>
        <w:rPr>
          <w:rFonts w:ascii="Arial" w:hAnsi="Arial" w:cs="Arial"/>
          <w:sz w:val="22"/>
          <w:szCs w:val="22"/>
          <w:lang w:val="en-US"/>
        </w:rPr>
      </w:pPr>
    </w:p>
    <w:p>
      <w:pPr>
        <w:jc w:val="both"/>
        <w:rPr>
          <w:rFonts w:ascii="Arial" w:hAnsi="Arial" w:cs="Arial"/>
          <w:sz w:val="22"/>
          <w:szCs w:val="22"/>
          <w:lang w:val="en-US"/>
        </w:rPr>
      </w:pPr>
    </w:p>
    <w:p>
      <w:pPr>
        <w:jc w:val="both"/>
        <w:rPr>
          <w:rFonts w:ascii="Arial" w:hAnsi="Arial" w:cs="Arial"/>
          <w:sz w:val="22"/>
          <w:szCs w:val="22"/>
          <w:lang w:val="en-US"/>
        </w:rPr>
      </w:pPr>
    </w:p>
    <w:p>
      <w:pPr>
        <w:jc w:val="both"/>
        <w:rPr>
          <w:rFonts w:ascii="Arial" w:hAnsi="Arial" w:cs="Arial"/>
          <w:sz w:val="22"/>
          <w:szCs w:val="22"/>
          <w:lang w:val="en-GB"/>
        </w:rPr>
      </w:pPr>
      <w:r>
        <w:rPr>
          <w:rFonts w:ascii="Arial" w:hAnsi="Arial" w:cs="Arial"/>
          <w:sz w:val="22"/>
          <w:szCs w:val="22"/>
          <w:lang w:val="en-GB"/>
        </w:rPr>
        <w:t>The University of Padua, in partnership with the University of Sydney (Australia)</w:t>
      </w:r>
      <w:r>
        <w:rPr>
          <w:rFonts w:ascii="Arial" w:hAnsi="Arial" w:cs="Arial"/>
          <w:bCs/>
          <w:sz w:val="22"/>
          <w:szCs w:val="22"/>
          <w:lang w:val="en-GB"/>
        </w:rPr>
        <w:t xml:space="preserve">, </w:t>
      </w:r>
      <w:r>
        <w:rPr>
          <w:rFonts w:ascii="Arial" w:hAnsi="Arial" w:cs="Arial"/>
          <w:sz w:val="22"/>
          <w:szCs w:val="22"/>
          <w:lang w:val="en-GB"/>
        </w:rPr>
        <w:t>announces a call for No.25 places for virtual exchange for the “ICPU” Project which will be held completely online from 28</w:t>
      </w:r>
      <w:r>
        <w:rPr>
          <w:rFonts w:ascii="Arial" w:hAnsi="Arial" w:cs="Arial"/>
          <w:sz w:val="22"/>
          <w:szCs w:val="22"/>
          <w:vertAlign w:val="superscript"/>
          <w:lang w:val="en-GB"/>
        </w:rPr>
        <w:t>th</w:t>
      </w:r>
      <w:r>
        <w:rPr>
          <w:rFonts w:ascii="Arial" w:hAnsi="Arial" w:cs="Arial"/>
          <w:sz w:val="22"/>
          <w:szCs w:val="22"/>
          <w:lang w:val="en-GB"/>
        </w:rPr>
        <w:t xml:space="preserve"> June 2021 to 23</w:t>
      </w:r>
      <w:r>
        <w:rPr>
          <w:rFonts w:ascii="Arial" w:hAnsi="Arial" w:cs="Arial"/>
          <w:sz w:val="22"/>
          <w:szCs w:val="22"/>
          <w:vertAlign w:val="superscript"/>
          <w:lang w:val="en-GB"/>
        </w:rPr>
        <w:t>rd</w:t>
      </w:r>
      <w:r>
        <w:rPr>
          <w:rFonts w:ascii="Arial" w:hAnsi="Arial" w:cs="Arial"/>
          <w:sz w:val="22"/>
          <w:szCs w:val="22"/>
          <w:lang w:val="en-GB"/>
        </w:rPr>
        <w:t xml:space="preserve"> July 2021. The final group participating in the project will consist of a total of 50 students: 25 from the University of Padua and 25 from the University of Sydney.</w:t>
      </w:r>
    </w:p>
    <w:p>
      <w:pPr>
        <w:jc w:val="both"/>
        <w:rPr>
          <w:rFonts w:ascii="Arial" w:hAnsi="Arial" w:cs="Arial"/>
          <w:sz w:val="22"/>
          <w:szCs w:val="22"/>
          <w:lang w:val="en-GB"/>
        </w:rPr>
      </w:pPr>
    </w:p>
    <w:p>
      <w:pPr>
        <w:jc w:val="both"/>
        <w:rPr>
          <w:rFonts w:ascii="Arial" w:hAnsi="Arial" w:cs="Arial"/>
          <w:sz w:val="22"/>
          <w:szCs w:val="22"/>
          <w:lang w:val="en-US"/>
        </w:rPr>
      </w:pPr>
    </w:p>
    <w:p>
      <w:pPr>
        <w:jc w:val="center"/>
        <w:rPr>
          <w:rFonts w:ascii="Arial" w:hAnsi="Arial" w:cs="Arial"/>
          <w:b/>
          <w:sz w:val="22"/>
          <w:szCs w:val="22"/>
          <w:lang w:val="en-US"/>
        </w:rPr>
      </w:pPr>
      <w:r>
        <w:rPr>
          <w:rFonts w:ascii="Arial" w:hAnsi="Arial" w:cs="Arial"/>
          <w:b/>
          <w:bCs/>
          <w:sz w:val="22"/>
          <w:szCs w:val="22"/>
          <w:lang w:val="en"/>
        </w:rPr>
        <w:t>Art. 1</w:t>
      </w:r>
      <w:r>
        <w:rPr>
          <w:rFonts w:ascii="Arial" w:hAnsi="Arial" w:cs="Arial"/>
          <w:sz w:val="22"/>
          <w:szCs w:val="22"/>
          <w:lang w:val="en"/>
        </w:rPr>
        <w:br w:type="textWrapping"/>
      </w:r>
      <w:r>
        <w:rPr>
          <w:rFonts w:ascii="Arial" w:hAnsi="Arial" w:cs="Arial"/>
          <w:b/>
          <w:bCs/>
          <w:sz w:val="22"/>
          <w:szCs w:val="22"/>
          <w:lang w:val="en"/>
        </w:rPr>
        <w:t>Content of the project</w:t>
      </w:r>
    </w:p>
    <w:p>
      <w:pPr>
        <w:jc w:val="both"/>
        <w:rPr>
          <w:rFonts w:ascii="Arial" w:hAnsi="Arial" w:cs="Arial"/>
          <w:sz w:val="22"/>
          <w:szCs w:val="22"/>
          <w:lang w:val="en-US"/>
        </w:rPr>
      </w:pPr>
      <w:r>
        <w:rPr>
          <w:rFonts w:ascii="Arial" w:hAnsi="Arial" w:cs="Arial"/>
          <w:sz w:val="22"/>
          <w:szCs w:val="22"/>
          <w:lang w:val="en"/>
        </w:rPr>
        <w:t xml:space="preserve"> </w:t>
      </w:r>
    </w:p>
    <w:p>
      <w:pPr>
        <w:jc w:val="both"/>
        <w:rPr>
          <w:rFonts w:ascii="Arial" w:hAnsi="Arial" w:cs="Arial"/>
          <w:sz w:val="22"/>
          <w:szCs w:val="22"/>
          <w:lang w:val="en"/>
        </w:rPr>
      </w:pPr>
      <w:r>
        <w:rPr>
          <w:rFonts w:ascii="Arial" w:hAnsi="Arial" w:cs="Arial"/>
          <w:sz w:val="22"/>
          <w:szCs w:val="22"/>
          <w:lang w:val="en"/>
        </w:rPr>
        <w:t xml:space="preserve">The project includes an ad-hoc educational path (Industry Community Project, ICP unit) of 6 ECTS organized by the University of Padua, in partnership with the University of Sydney and regional partners (companies, multinationals and service companies). These will present the students with a challenge and / or case study which they will be asked to work on/ solve. The aim of the course is to support the development of soft skills, such as collaboration skills, teamwork, problem-solving in order to promote professional growth and integration into the world of work. </w:t>
      </w:r>
    </w:p>
    <w:p>
      <w:pPr>
        <w:jc w:val="both"/>
        <w:rPr>
          <w:rFonts w:ascii="Arial" w:hAnsi="Arial" w:cs="Arial"/>
          <w:sz w:val="22"/>
          <w:szCs w:val="22"/>
          <w:lang w:val="en"/>
        </w:rPr>
      </w:pPr>
    </w:p>
    <w:p>
      <w:pPr>
        <w:jc w:val="both"/>
        <w:rPr>
          <w:rFonts w:ascii="Arial" w:hAnsi="Arial" w:cs="Arial"/>
          <w:bCs/>
          <w:sz w:val="22"/>
          <w:szCs w:val="22"/>
          <w:lang w:val="en-GB"/>
        </w:rPr>
      </w:pPr>
      <w:r>
        <w:rPr>
          <w:rFonts w:ascii="Arial" w:hAnsi="Arial" w:cs="Arial"/>
          <w:b/>
          <w:sz w:val="22"/>
          <w:szCs w:val="22"/>
          <w:lang w:val="en-GB"/>
        </w:rPr>
        <w:t>Project theme.</w:t>
      </w:r>
      <w:r>
        <w:rPr>
          <w:rFonts w:ascii="Arial" w:hAnsi="Arial" w:cs="Arial"/>
          <w:bCs/>
          <w:sz w:val="22"/>
          <w:szCs w:val="22"/>
          <w:lang w:val="en-GB"/>
        </w:rPr>
        <w:t xml:space="preserve"> For this call, the project theme will be </w:t>
      </w:r>
      <w:r>
        <w:rPr>
          <w:rFonts w:ascii="Arial" w:hAnsi="Arial" w:cs="Arial"/>
          <w:bCs/>
          <w:i/>
          <w:iCs/>
          <w:sz w:val="22"/>
          <w:szCs w:val="22"/>
          <w:lang w:val="en-GB"/>
        </w:rPr>
        <w:t>Food &amp; Health in a circular and sustainable economy</w:t>
      </w:r>
      <w:r>
        <w:rPr>
          <w:rFonts w:ascii="Arial" w:hAnsi="Arial" w:cs="Arial"/>
          <w:bCs/>
          <w:sz w:val="22"/>
          <w:szCs w:val="22"/>
          <w:lang w:val="en-GB"/>
        </w:rPr>
        <w:t>, a topic which will test students’ interdisciplinary skills.</w:t>
      </w:r>
    </w:p>
    <w:p>
      <w:pPr>
        <w:jc w:val="both"/>
        <w:rPr>
          <w:rFonts w:ascii="Arial" w:hAnsi="Arial" w:cs="Arial"/>
          <w:bCs/>
          <w:sz w:val="22"/>
          <w:szCs w:val="22"/>
          <w:lang w:val="en-GB"/>
        </w:rPr>
      </w:pPr>
    </w:p>
    <w:p>
      <w:pPr>
        <w:jc w:val="both"/>
        <w:rPr>
          <w:rFonts w:ascii="Arial" w:hAnsi="Arial" w:cs="Arial"/>
          <w:bCs/>
          <w:sz w:val="22"/>
          <w:szCs w:val="22"/>
          <w:lang w:val="en-GB"/>
        </w:rPr>
      </w:pPr>
      <w:r>
        <w:rPr>
          <w:rFonts w:ascii="Arial" w:hAnsi="Arial" w:cs="Arial"/>
          <w:b/>
          <w:sz w:val="22"/>
          <w:szCs w:val="22"/>
          <w:lang w:val="en-GB"/>
        </w:rPr>
        <w:t>Subdivision of students.</w:t>
      </w:r>
      <w:r>
        <w:rPr>
          <w:rFonts w:ascii="Arial" w:hAnsi="Arial" w:cs="Arial"/>
          <w:bCs/>
          <w:sz w:val="22"/>
          <w:szCs w:val="22"/>
          <w:lang w:val="en-GB"/>
        </w:rPr>
        <w:t xml:space="preserve"> Students will be divided into heterogeneous group</w:t>
      </w:r>
      <w:r>
        <w:rPr>
          <w:rFonts w:ascii="Arial" w:hAnsi="Arial" w:cs="Arial"/>
          <w:bCs/>
          <w:sz w:val="22"/>
          <w:szCs w:val="22"/>
          <w:highlight w:val="none"/>
          <w:lang w:val="en-GB"/>
        </w:rPr>
        <w:t>s of 10, i</w:t>
      </w:r>
      <w:r>
        <w:rPr>
          <w:rFonts w:ascii="Arial" w:hAnsi="Arial" w:cs="Arial"/>
          <w:bCs/>
          <w:sz w:val="22"/>
          <w:szCs w:val="22"/>
          <w:lang w:val="en-GB"/>
        </w:rPr>
        <w:t>ncluding both Italian and Australian students: each group will be composed of students with different educational backgrounds (e.g. engineering, psychology, agriculture, physics, history, mathematics, languages, medicine), in order to promote interaction between diversified disciplinary fields.</w:t>
      </w:r>
    </w:p>
    <w:p>
      <w:pPr>
        <w:jc w:val="both"/>
        <w:rPr>
          <w:rFonts w:ascii="Arial" w:hAnsi="Arial" w:cs="Arial"/>
          <w:bCs/>
          <w:sz w:val="22"/>
          <w:szCs w:val="22"/>
          <w:lang w:val="en-GB"/>
        </w:rPr>
      </w:pPr>
    </w:p>
    <w:p>
      <w:pPr>
        <w:jc w:val="both"/>
        <w:rPr>
          <w:rFonts w:ascii="Arial" w:hAnsi="Arial" w:cs="Arial"/>
          <w:bCs/>
          <w:sz w:val="22"/>
          <w:szCs w:val="22"/>
          <w:lang w:val="en-US"/>
        </w:rPr>
      </w:pPr>
      <w:r>
        <w:rPr>
          <w:rFonts w:ascii="Arial" w:hAnsi="Arial" w:cs="Arial"/>
          <w:b/>
          <w:sz w:val="22"/>
          <w:szCs w:val="22"/>
          <w:lang w:val="en-GB"/>
        </w:rPr>
        <w:t>Recognition of ECTS.</w:t>
      </w:r>
      <w:r>
        <w:rPr>
          <w:rFonts w:ascii="Arial" w:hAnsi="Arial" w:cs="Arial"/>
          <w:bCs/>
          <w:sz w:val="22"/>
          <w:szCs w:val="22"/>
          <w:lang w:val="en-GB"/>
        </w:rPr>
        <w:t xml:space="preserve"> At the end of course, in order to obtain the 6 ECTS, each group of students will have to present and discuss their work to the industrial partner. </w:t>
      </w:r>
      <w:r>
        <w:rPr>
          <w:rFonts w:ascii="Arial" w:hAnsi="Arial" w:cs="Arial"/>
          <w:sz w:val="22"/>
          <w:szCs w:val="22"/>
          <w:lang w:val="en"/>
        </w:rPr>
        <w:t xml:space="preserve">For the ICPU virtual exchange, successful students can gain 6 ECTS credits from the University of Padua as free-choice activities (free ECTS credits) for </w:t>
      </w:r>
      <w:r>
        <w:rPr>
          <w:rFonts w:ascii="Arial" w:hAnsi="Arial" w:cs="Arial"/>
          <w:i/>
          <w:iCs/>
          <w:sz w:val="22"/>
          <w:szCs w:val="22"/>
          <w:lang w:val="en"/>
        </w:rPr>
        <w:t>general course</w:t>
      </w:r>
      <w:r>
        <w:rPr>
          <w:rFonts w:ascii="Arial" w:hAnsi="Arial" w:cs="Arial"/>
          <w:sz w:val="22"/>
          <w:szCs w:val="22"/>
          <w:lang w:val="en"/>
        </w:rPr>
        <w:t>, once the course unit ‘</w:t>
      </w:r>
      <w:r>
        <w:rPr>
          <w:rFonts w:ascii="Arial" w:hAnsi="Arial" w:cs="Arial"/>
          <w:i/>
          <w:sz w:val="22"/>
          <w:szCs w:val="22"/>
          <w:lang w:val="en"/>
        </w:rPr>
        <w:t>Industry and Community Project</w:t>
      </w:r>
      <w:r>
        <w:rPr>
          <w:rFonts w:ascii="Arial" w:hAnsi="Arial" w:cs="Arial"/>
          <w:i/>
          <w:iCs/>
          <w:sz w:val="22"/>
          <w:szCs w:val="22"/>
          <w:lang w:val="en"/>
        </w:rPr>
        <w:t xml:space="preserve">’ </w:t>
      </w:r>
      <w:r>
        <w:rPr>
          <w:rFonts w:ascii="Arial" w:hAnsi="Arial" w:cs="Arial"/>
          <w:sz w:val="22"/>
          <w:szCs w:val="22"/>
          <w:lang w:val="en"/>
        </w:rPr>
        <w:t xml:space="preserve">has been added to the student’s study plan. </w:t>
      </w:r>
    </w:p>
    <w:p>
      <w:pPr>
        <w:jc w:val="both"/>
        <w:rPr>
          <w:rFonts w:ascii="Arial" w:hAnsi="Arial" w:cs="Arial"/>
          <w:bCs/>
          <w:sz w:val="22"/>
          <w:szCs w:val="22"/>
          <w:lang w:val="en-US"/>
        </w:rPr>
      </w:pPr>
    </w:p>
    <w:p>
      <w:pPr>
        <w:jc w:val="both"/>
        <w:rPr>
          <w:rFonts w:ascii="Arial" w:hAnsi="Arial" w:cs="Arial"/>
          <w:bCs/>
          <w:sz w:val="22"/>
          <w:szCs w:val="22"/>
          <w:lang w:val="en-GB"/>
        </w:rPr>
      </w:pPr>
      <w:r>
        <w:rPr>
          <w:rFonts w:ascii="Arial" w:hAnsi="Arial" w:cs="Arial"/>
          <w:bCs/>
          <w:sz w:val="22"/>
          <w:szCs w:val="22"/>
          <w:lang w:val="en-GB"/>
        </w:rPr>
        <w:t xml:space="preserve">Detailed information on partners, the ICPU project, etc will be available at the following links: </w:t>
      </w:r>
      <w:r>
        <w:fldChar w:fldCharType="begin"/>
      </w:r>
      <w:r>
        <w:instrText xml:space="preserve"> HYPERLINK "https://www.unipd.it/icpu" </w:instrText>
      </w:r>
      <w:r>
        <w:fldChar w:fldCharType="separate"/>
      </w:r>
      <w:r>
        <w:rPr>
          <w:rStyle w:val="14"/>
          <w:rFonts w:ascii="Arial" w:hAnsi="Arial" w:cs="Arial"/>
          <w:bCs/>
          <w:sz w:val="22"/>
          <w:szCs w:val="22"/>
          <w:lang w:val="en-GB"/>
        </w:rPr>
        <w:t>https://www.unipd.it/icpu</w:t>
      </w:r>
      <w:r>
        <w:rPr>
          <w:rStyle w:val="14"/>
          <w:rFonts w:ascii="Arial" w:hAnsi="Arial" w:cs="Arial"/>
          <w:bCs/>
          <w:sz w:val="22"/>
          <w:szCs w:val="22"/>
          <w:lang w:val="en-GB"/>
        </w:rPr>
        <w:fldChar w:fldCharType="end"/>
      </w:r>
      <w:r>
        <w:rPr>
          <w:rFonts w:ascii="Arial" w:hAnsi="Arial" w:cs="Arial"/>
          <w:bCs/>
          <w:sz w:val="22"/>
          <w:szCs w:val="22"/>
          <w:lang w:val="en-GB"/>
        </w:rPr>
        <w:t xml:space="preserve">  (in Italian) and </w:t>
      </w:r>
      <w:r>
        <w:fldChar w:fldCharType="begin"/>
      </w:r>
      <w:r>
        <w:instrText xml:space="preserve"> HYPERLINK "https://www.unipd.it/en/icpu" </w:instrText>
      </w:r>
      <w:r>
        <w:fldChar w:fldCharType="separate"/>
      </w:r>
      <w:r>
        <w:rPr>
          <w:rStyle w:val="14"/>
          <w:rFonts w:ascii="Arial" w:hAnsi="Arial" w:cs="Arial"/>
          <w:bCs/>
          <w:sz w:val="22"/>
          <w:szCs w:val="22"/>
          <w:lang w:val="en-GB"/>
        </w:rPr>
        <w:t>https://www.unipd.it/en/icpu</w:t>
      </w:r>
      <w:r>
        <w:rPr>
          <w:rStyle w:val="14"/>
          <w:rFonts w:ascii="Arial" w:hAnsi="Arial" w:cs="Arial"/>
          <w:bCs/>
          <w:sz w:val="22"/>
          <w:szCs w:val="22"/>
          <w:lang w:val="en-GB"/>
        </w:rPr>
        <w:fldChar w:fldCharType="end"/>
      </w:r>
      <w:r>
        <w:rPr>
          <w:rFonts w:ascii="Arial" w:hAnsi="Arial" w:cs="Arial"/>
          <w:bCs/>
          <w:sz w:val="22"/>
          <w:szCs w:val="22"/>
          <w:lang w:val="en-GB"/>
        </w:rPr>
        <w:t xml:space="preserve"> (in English) </w:t>
      </w:r>
    </w:p>
    <w:p>
      <w:pPr>
        <w:jc w:val="both"/>
        <w:rPr>
          <w:rFonts w:ascii="Arial" w:hAnsi="Arial" w:cs="Arial"/>
          <w:bCs/>
          <w:sz w:val="22"/>
          <w:szCs w:val="22"/>
          <w:lang w:val="en-GB"/>
        </w:rPr>
      </w:pPr>
    </w:p>
    <w:p>
      <w:pPr>
        <w:jc w:val="center"/>
        <w:rPr>
          <w:rFonts w:ascii="Arial" w:hAnsi="Arial" w:cs="Arial"/>
          <w:b/>
          <w:bCs/>
          <w:sz w:val="22"/>
          <w:szCs w:val="22"/>
          <w:lang w:val="en"/>
        </w:rPr>
      </w:pPr>
    </w:p>
    <w:p>
      <w:pPr>
        <w:jc w:val="center"/>
        <w:rPr>
          <w:rFonts w:ascii="Arial" w:hAnsi="Arial" w:cs="Arial"/>
          <w:b/>
          <w:bCs/>
          <w:sz w:val="22"/>
          <w:szCs w:val="22"/>
          <w:lang w:val="en"/>
        </w:rPr>
      </w:pPr>
      <w:r>
        <w:rPr>
          <w:rFonts w:ascii="Arial" w:hAnsi="Arial" w:cs="Arial"/>
          <w:b/>
          <w:bCs/>
          <w:sz w:val="22"/>
          <w:szCs w:val="22"/>
          <w:lang w:val="en"/>
        </w:rPr>
        <w:t>Art. 2</w:t>
      </w:r>
      <w:r>
        <w:rPr>
          <w:rFonts w:ascii="Arial" w:hAnsi="Arial" w:cs="Arial"/>
          <w:sz w:val="22"/>
          <w:szCs w:val="22"/>
          <w:lang w:val="en"/>
        </w:rPr>
        <w:br w:type="textWrapping"/>
      </w:r>
      <w:r>
        <w:rPr>
          <w:rFonts w:ascii="Arial" w:hAnsi="Arial" w:cs="Arial"/>
          <w:b/>
          <w:bCs/>
          <w:sz w:val="22"/>
          <w:szCs w:val="22"/>
          <w:lang w:val="en"/>
        </w:rPr>
        <w:t>Admission requirements</w:t>
      </w:r>
    </w:p>
    <w:p>
      <w:pPr>
        <w:jc w:val="center"/>
        <w:rPr>
          <w:rFonts w:ascii="Arial" w:hAnsi="Arial" w:cs="Arial"/>
          <w:b/>
          <w:sz w:val="22"/>
          <w:szCs w:val="22"/>
          <w:lang w:val="en-US"/>
        </w:rPr>
      </w:pPr>
    </w:p>
    <w:p>
      <w:pPr>
        <w:jc w:val="both"/>
        <w:rPr>
          <w:rFonts w:ascii="Arial" w:hAnsi="Arial" w:cs="Arial"/>
          <w:b/>
          <w:sz w:val="22"/>
          <w:szCs w:val="22"/>
          <w:lang w:val="en-US"/>
        </w:rPr>
      </w:pPr>
      <w:r>
        <w:rPr>
          <w:rFonts w:ascii="Arial" w:hAnsi="Arial" w:cs="Arial"/>
          <w:sz w:val="22"/>
          <w:szCs w:val="22"/>
          <w:lang w:val="en"/>
        </w:rPr>
        <w:t>To be admitted to the programme, when applying and by the deadline of this call, students must meet the following criteria:</w:t>
      </w:r>
    </w:p>
    <w:p>
      <w:pPr>
        <w:jc w:val="both"/>
        <w:rPr>
          <w:rFonts w:ascii="Arial" w:hAnsi="Arial" w:cs="Arial"/>
          <w:sz w:val="22"/>
          <w:szCs w:val="22"/>
          <w:lang w:val="en-US"/>
        </w:rPr>
      </w:pPr>
    </w:p>
    <w:p>
      <w:pPr>
        <w:numPr>
          <w:ilvl w:val="0"/>
          <w:numId w:val="2"/>
        </w:numPr>
        <w:jc w:val="both"/>
        <w:rPr>
          <w:rFonts w:ascii="Arial" w:hAnsi="Arial" w:cs="Arial"/>
          <w:sz w:val="22"/>
          <w:szCs w:val="22"/>
          <w:lang w:val="en-US"/>
        </w:rPr>
      </w:pPr>
      <w:r>
        <w:rPr>
          <w:rFonts w:ascii="Arial" w:hAnsi="Arial" w:cs="Arial"/>
          <w:sz w:val="22"/>
          <w:szCs w:val="22"/>
          <w:lang w:val="en"/>
        </w:rPr>
        <w:t>be regularly enrolled in a Bachelor's degree, Master's degree or Single-cycle degree programme of the University of Padua for the a.y. 2020/21;</w:t>
      </w:r>
    </w:p>
    <w:p>
      <w:pPr>
        <w:numPr>
          <w:ilvl w:val="0"/>
          <w:numId w:val="2"/>
        </w:numPr>
        <w:jc w:val="both"/>
        <w:rPr>
          <w:rFonts w:ascii="Arial" w:hAnsi="Arial" w:cs="Arial"/>
          <w:sz w:val="22"/>
          <w:szCs w:val="22"/>
          <w:lang w:val="en-US"/>
        </w:rPr>
      </w:pPr>
      <w:r>
        <w:rPr>
          <w:rFonts w:ascii="Arial" w:hAnsi="Arial" w:cs="Arial"/>
          <w:sz w:val="22"/>
          <w:szCs w:val="22"/>
          <w:lang w:val="en"/>
        </w:rPr>
        <w:t>be enrolled at the University of Padua when applying and for the entire period of activities;</w:t>
      </w:r>
    </w:p>
    <w:p>
      <w:pPr>
        <w:numPr>
          <w:ilvl w:val="0"/>
          <w:numId w:val="2"/>
        </w:numPr>
        <w:jc w:val="both"/>
        <w:rPr>
          <w:rFonts w:ascii="Arial" w:hAnsi="Arial" w:cs="Arial"/>
          <w:sz w:val="22"/>
          <w:szCs w:val="22"/>
          <w:lang w:val="en-US"/>
        </w:rPr>
      </w:pPr>
      <w:r>
        <w:rPr>
          <w:rFonts w:ascii="Arial" w:hAnsi="Arial" w:cs="Arial"/>
          <w:sz w:val="22"/>
          <w:szCs w:val="22"/>
          <w:lang w:val="en"/>
        </w:rPr>
        <w:t>students must not be enrolled in the first year of a Bachelor’s degree programme (first-cycle degree) for the a.y. 2020/21;</w:t>
      </w:r>
    </w:p>
    <w:p>
      <w:pPr>
        <w:numPr>
          <w:ilvl w:val="0"/>
          <w:numId w:val="2"/>
        </w:numPr>
        <w:jc w:val="both"/>
        <w:rPr>
          <w:rFonts w:ascii="Arial" w:hAnsi="Arial" w:cs="Arial"/>
          <w:sz w:val="22"/>
          <w:szCs w:val="22"/>
          <w:lang w:val="en-US"/>
        </w:rPr>
      </w:pPr>
      <w:r>
        <w:rPr>
          <w:rFonts w:ascii="Arial" w:hAnsi="Arial" w:cs="Arial"/>
          <w:sz w:val="22"/>
          <w:szCs w:val="22"/>
          <w:lang w:val="en-US"/>
        </w:rPr>
        <w:t>have achieved a weighted average of at least 24/30 and a Bachelor degree mark of at least 88/110;</w:t>
      </w:r>
    </w:p>
    <w:p>
      <w:pPr>
        <w:numPr>
          <w:ilvl w:val="0"/>
          <w:numId w:val="2"/>
        </w:numPr>
        <w:jc w:val="both"/>
        <w:rPr>
          <w:rFonts w:ascii="Arial" w:hAnsi="Arial" w:cs="Arial"/>
          <w:sz w:val="22"/>
          <w:szCs w:val="22"/>
          <w:lang w:val="en-US"/>
        </w:rPr>
      </w:pPr>
      <w:r>
        <w:rPr>
          <w:rFonts w:ascii="Arial" w:hAnsi="Arial" w:cs="Arial"/>
          <w:sz w:val="22"/>
          <w:szCs w:val="22"/>
          <w:lang w:val="en"/>
        </w:rPr>
        <w:t>students must prove their proficiency in English through a certificate preferably attesting a B2 level or higher (Common European Framework of Reference for Languages) or they must be enrolled in a Bachelor's degree, Master's degree or Single-cycle degree programme delivered in English or have successfully completed it;</w:t>
      </w:r>
    </w:p>
    <w:p>
      <w:pPr>
        <w:numPr>
          <w:ilvl w:val="0"/>
          <w:numId w:val="2"/>
        </w:numPr>
        <w:jc w:val="both"/>
        <w:rPr>
          <w:rFonts w:ascii="Arial" w:hAnsi="Arial" w:cs="Arial"/>
          <w:sz w:val="22"/>
          <w:szCs w:val="22"/>
          <w:lang w:val="en-US"/>
        </w:rPr>
      </w:pPr>
      <w:r>
        <w:rPr>
          <w:rFonts w:ascii="Arial" w:hAnsi="Arial" w:cs="Arial"/>
          <w:sz w:val="22"/>
          <w:szCs w:val="22"/>
          <w:lang w:val="en-US"/>
        </w:rPr>
        <w:t>they are not enrolled in a mobility abroad.</w:t>
      </w:r>
    </w:p>
    <w:p>
      <w:pPr>
        <w:jc w:val="center"/>
        <w:rPr>
          <w:rFonts w:ascii="Arial" w:hAnsi="Arial" w:cs="Arial"/>
          <w:sz w:val="22"/>
          <w:szCs w:val="22"/>
          <w:lang w:val="en-US"/>
        </w:rPr>
      </w:pPr>
    </w:p>
    <w:p>
      <w:pPr>
        <w:jc w:val="center"/>
        <w:rPr>
          <w:rFonts w:ascii="Arial" w:hAnsi="Arial" w:cs="Arial"/>
          <w:sz w:val="22"/>
          <w:szCs w:val="22"/>
          <w:lang w:val="en-US"/>
        </w:rPr>
      </w:pPr>
    </w:p>
    <w:p>
      <w:pPr>
        <w:jc w:val="center"/>
        <w:rPr>
          <w:rFonts w:ascii="Arial" w:hAnsi="Arial" w:cs="Arial"/>
          <w:b/>
          <w:sz w:val="22"/>
          <w:szCs w:val="22"/>
          <w:lang w:val="en-US"/>
        </w:rPr>
      </w:pPr>
      <w:r>
        <w:rPr>
          <w:rFonts w:ascii="Arial" w:hAnsi="Arial" w:cs="Arial"/>
          <w:b/>
          <w:bCs/>
          <w:sz w:val="22"/>
          <w:szCs w:val="22"/>
          <w:lang w:val="en"/>
        </w:rPr>
        <w:t>Art. 3</w:t>
      </w:r>
      <w:r>
        <w:rPr>
          <w:rFonts w:ascii="Arial" w:hAnsi="Arial" w:cs="Arial"/>
          <w:sz w:val="22"/>
          <w:szCs w:val="22"/>
          <w:lang w:val="en"/>
        </w:rPr>
        <w:br w:type="textWrapping"/>
      </w:r>
      <w:r>
        <w:rPr>
          <w:rFonts w:ascii="Arial" w:hAnsi="Arial" w:cs="Arial"/>
          <w:b/>
          <w:bCs/>
          <w:sz w:val="22"/>
          <w:szCs w:val="22"/>
          <w:lang w:val="en"/>
        </w:rPr>
        <w:t>How to submit your application</w:t>
      </w:r>
    </w:p>
    <w:p>
      <w:pPr>
        <w:jc w:val="both"/>
        <w:rPr>
          <w:rFonts w:ascii="Arial" w:hAnsi="Arial" w:cs="Arial"/>
          <w:sz w:val="22"/>
          <w:szCs w:val="22"/>
          <w:lang w:val="en-US"/>
        </w:rPr>
      </w:pPr>
    </w:p>
    <w:p>
      <w:pPr>
        <w:jc w:val="both"/>
        <w:rPr>
          <w:rFonts w:ascii="Arial" w:hAnsi="Arial" w:cs="Arial"/>
          <w:sz w:val="22"/>
          <w:szCs w:val="22"/>
          <w:lang w:val="en"/>
        </w:rPr>
      </w:pPr>
      <w:r>
        <w:rPr>
          <w:rFonts w:ascii="Arial" w:hAnsi="Arial" w:cs="Arial"/>
          <w:sz w:val="22"/>
          <w:szCs w:val="22"/>
          <w:lang w:val="en"/>
        </w:rPr>
        <w:t>To participate in this selection procedure, candidates must fill out the online application form and provide the following annexes:</w:t>
      </w:r>
    </w:p>
    <w:p>
      <w:pPr>
        <w:jc w:val="both"/>
        <w:rPr>
          <w:rFonts w:ascii="Arial" w:hAnsi="Arial" w:cs="Arial"/>
          <w:sz w:val="22"/>
          <w:szCs w:val="22"/>
          <w:lang w:val="en-US"/>
        </w:rPr>
      </w:pPr>
    </w:p>
    <w:p>
      <w:pPr>
        <w:numPr>
          <w:ilvl w:val="0"/>
          <w:numId w:val="3"/>
        </w:numPr>
        <w:jc w:val="both"/>
        <w:rPr>
          <w:rFonts w:ascii="Arial" w:hAnsi="Arial" w:cs="Arial"/>
          <w:sz w:val="22"/>
          <w:szCs w:val="22"/>
          <w:lang w:val="en-US"/>
        </w:rPr>
      </w:pPr>
      <w:r>
        <w:rPr>
          <w:rFonts w:ascii="Arial" w:hAnsi="Arial" w:cs="Arial"/>
          <w:sz w:val="22"/>
          <w:szCs w:val="22"/>
          <w:lang w:val="en"/>
        </w:rPr>
        <w:t>copy of a valid ID card;</w:t>
      </w:r>
    </w:p>
    <w:p>
      <w:pPr>
        <w:numPr>
          <w:ilvl w:val="0"/>
          <w:numId w:val="3"/>
        </w:numPr>
        <w:jc w:val="both"/>
        <w:rPr>
          <w:rFonts w:ascii="Arial" w:hAnsi="Arial" w:cs="Arial"/>
          <w:sz w:val="22"/>
          <w:szCs w:val="22"/>
          <w:lang w:val="en-US"/>
        </w:rPr>
      </w:pPr>
      <w:r>
        <w:rPr>
          <w:rFonts w:ascii="Arial" w:hAnsi="Arial" w:cs="Arial"/>
          <w:sz w:val="22"/>
          <w:szCs w:val="22"/>
          <w:lang w:val="en"/>
        </w:rPr>
        <w:t>for non-EU citizens: copy of a valid residence permit;</w:t>
      </w:r>
    </w:p>
    <w:p>
      <w:pPr>
        <w:numPr>
          <w:ilvl w:val="0"/>
          <w:numId w:val="3"/>
        </w:numPr>
        <w:jc w:val="both"/>
        <w:rPr>
          <w:rFonts w:ascii="Arial" w:hAnsi="Arial" w:cs="Arial"/>
          <w:sz w:val="22"/>
          <w:szCs w:val="22"/>
          <w:lang w:val="en-US"/>
        </w:rPr>
      </w:pPr>
      <w:r>
        <w:rPr>
          <w:rFonts w:ascii="Arial" w:hAnsi="Arial" w:cs="Arial"/>
          <w:sz w:val="22"/>
          <w:szCs w:val="22"/>
          <w:lang w:val="en"/>
        </w:rPr>
        <w:t>copy of the language certificate or another document attesting the applicant’s language level;</w:t>
      </w:r>
    </w:p>
    <w:p>
      <w:pPr>
        <w:numPr>
          <w:ilvl w:val="0"/>
          <w:numId w:val="3"/>
        </w:numPr>
        <w:jc w:val="both"/>
        <w:rPr>
          <w:rFonts w:ascii="Arial" w:hAnsi="Arial" w:cs="Arial"/>
          <w:sz w:val="22"/>
          <w:szCs w:val="22"/>
          <w:lang w:val="en-US"/>
        </w:rPr>
      </w:pPr>
      <w:r>
        <w:rPr>
          <w:rFonts w:ascii="Arial" w:hAnsi="Arial" w:cs="Arial"/>
          <w:sz w:val="22"/>
          <w:szCs w:val="22"/>
          <w:lang w:val="en"/>
        </w:rPr>
        <w:t>document downloaded from Uniweb certifying the number of examinations the student passed, the number of ECTS credits and the weighted average grades, or a self-certification of the Bachelor's degree with examinations (for students enrolled in the first year of a Master's degree programme);</w:t>
      </w:r>
    </w:p>
    <w:p>
      <w:pPr>
        <w:numPr>
          <w:ilvl w:val="0"/>
          <w:numId w:val="3"/>
        </w:numPr>
        <w:jc w:val="both"/>
        <w:rPr>
          <w:rFonts w:ascii="Arial" w:hAnsi="Arial" w:cs="Arial"/>
          <w:sz w:val="22"/>
          <w:szCs w:val="22"/>
          <w:lang w:val="en-US"/>
        </w:rPr>
      </w:pPr>
      <w:r>
        <w:rPr>
          <w:rFonts w:ascii="Arial" w:hAnsi="Arial" w:cs="Arial"/>
          <w:sz w:val="22"/>
          <w:szCs w:val="22"/>
          <w:lang w:val="en"/>
        </w:rPr>
        <w:t>motivation letter written in English (up to 2000 characters, with spaces);</w:t>
      </w:r>
    </w:p>
    <w:p>
      <w:pPr>
        <w:numPr>
          <w:ilvl w:val="0"/>
          <w:numId w:val="3"/>
        </w:numPr>
        <w:jc w:val="both"/>
        <w:rPr>
          <w:rFonts w:ascii="Arial" w:hAnsi="Arial" w:cs="Arial"/>
          <w:sz w:val="22"/>
          <w:szCs w:val="22"/>
          <w:lang w:val="en-US"/>
        </w:rPr>
      </w:pPr>
      <w:r>
        <w:rPr>
          <w:rFonts w:ascii="Arial" w:hAnsi="Arial" w:cs="Arial"/>
          <w:sz w:val="22"/>
          <w:szCs w:val="22"/>
          <w:lang w:val="en"/>
        </w:rPr>
        <w:t>any additional qualifications which may be relevant to the analysis by the Committee (e.g. curriculum vitae, other certificates, etc).</w:t>
      </w:r>
    </w:p>
    <w:p>
      <w:pPr>
        <w:jc w:val="both"/>
        <w:rPr>
          <w:rFonts w:ascii="Arial" w:hAnsi="Arial" w:cs="Arial"/>
          <w:sz w:val="22"/>
          <w:szCs w:val="22"/>
          <w:lang w:val="en-US"/>
        </w:rPr>
      </w:pPr>
    </w:p>
    <w:p>
      <w:pPr>
        <w:pStyle w:val="30"/>
        <w:rPr>
          <w:rFonts w:ascii="Arial" w:hAnsi="Arial" w:cs="Arial"/>
          <w:sz w:val="22"/>
          <w:szCs w:val="22"/>
          <w:lang w:val="en-GB"/>
        </w:rPr>
      </w:pPr>
      <w:r>
        <w:rPr>
          <w:rFonts w:ascii="Arial" w:hAnsi="Arial" w:cs="Arial"/>
          <w:sz w:val="22"/>
          <w:szCs w:val="22"/>
          <w:lang w:val="en"/>
        </w:rPr>
        <w:t xml:space="preserve">The application and its annexes must be uploaded on Moodle platform </w:t>
      </w:r>
      <w:r>
        <w:rPr>
          <w:rFonts w:hint="default"/>
        </w:rPr>
        <w:fldChar w:fldCharType="begin"/>
      </w:r>
      <w:r>
        <w:rPr>
          <w:rFonts w:hint="default"/>
        </w:rPr>
        <w:instrText xml:space="preserve"> HYPERLINK "https://elearning.unipd.it/ufficiserviziapplicazioni/mod/data/edit.php?d=212" </w:instrText>
      </w:r>
      <w:r>
        <w:rPr>
          <w:rFonts w:hint="default"/>
        </w:rPr>
        <w:fldChar w:fldCharType="separate"/>
      </w:r>
      <w:r>
        <w:rPr>
          <w:rStyle w:val="14"/>
          <w:rFonts w:hint="default"/>
        </w:rPr>
        <w:t>https://elearning.unipd.it/ufficiserviziapplicazioni/mod/data/edit.php?d=212</w:t>
      </w:r>
      <w:r>
        <w:rPr>
          <w:rFonts w:hint="default"/>
        </w:rPr>
        <w:fldChar w:fldCharType="end"/>
      </w:r>
      <w:bookmarkStart w:id="0" w:name="_GoBack"/>
      <w:bookmarkEnd w:id="0"/>
      <w:r>
        <w:rPr>
          <w:rFonts w:hint="default"/>
          <w:lang w:val="it-IT"/>
        </w:rPr>
        <w:t xml:space="preserve"> </w:t>
      </w:r>
      <w:r>
        <w:rPr>
          <w:rFonts w:ascii="Arial" w:hAnsi="Arial" w:cs="Arial"/>
          <w:b/>
          <w:bCs/>
          <w:sz w:val="22"/>
          <w:szCs w:val="22"/>
          <w:u w:val="single"/>
          <w:lang w:val="en"/>
        </w:rPr>
        <w:t>by 26</w:t>
      </w:r>
      <w:r>
        <w:rPr>
          <w:rFonts w:ascii="Arial" w:hAnsi="Arial" w:cs="Arial"/>
          <w:b/>
          <w:bCs/>
          <w:sz w:val="22"/>
          <w:szCs w:val="22"/>
          <w:u w:val="single"/>
          <w:vertAlign w:val="superscript"/>
          <w:lang w:val="en"/>
        </w:rPr>
        <w:t>th</w:t>
      </w:r>
      <w:r>
        <w:rPr>
          <w:rFonts w:ascii="Arial" w:hAnsi="Arial" w:cs="Arial"/>
          <w:b/>
          <w:bCs/>
          <w:sz w:val="22"/>
          <w:szCs w:val="22"/>
          <w:u w:val="single"/>
          <w:lang w:val="en"/>
        </w:rPr>
        <w:t xml:space="preserve"> March 2021 at 10.00 am.</w:t>
      </w:r>
      <w:r>
        <w:rPr>
          <w:rFonts w:ascii="Arial" w:hAnsi="Arial" w:cs="Arial"/>
          <w:sz w:val="22"/>
          <w:szCs w:val="22"/>
          <w:lang w:val="en-GB"/>
        </w:rPr>
        <w:t xml:space="preserve"> </w:t>
      </w:r>
    </w:p>
    <w:p>
      <w:pPr>
        <w:jc w:val="both"/>
        <w:rPr>
          <w:rFonts w:ascii="Arial" w:hAnsi="Arial" w:cs="Arial"/>
          <w:sz w:val="22"/>
          <w:szCs w:val="22"/>
          <w:lang w:val="en-US"/>
        </w:rPr>
      </w:pPr>
    </w:p>
    <w:p>
      <w:pPr>
        <w:jc w:val="both"/>
        <w:rPr>
          <w:rFonts w:ascii="Arial" w:hAnsi="Arial" w:cs="Arial"/>
          <w:sz w:val="22"/>
          <w:szCs w:val="22"/>
          <w:lang w:val="en-US"/>
        </w:rPr>
      </w:pPr>
    </w:p>
    <w:p>
      <w:pPr>
        <w:jc w:val="center"/>
        <w:rPr>
          <w:rFonts w:ascii="Arial" w:hAnsi="Arial" w:cs="Arial"/>
          <w:b/>
          <w:sz w:val="22"/>
          <w:szCs w:val="22"/>
          <w:lang w:val="en-US"/>
        </w:rPr>
      </w:pPr>
      <w:r>
        <w:rPr>
          <w:rFonts w:ascii="Arial" w:hAnsi="Arial" w:cs="Arial"/>
          <w:b/>
          <w:bCs/>
          <w:sz w:val="22"/>
          <w:szCs w:val="22"/>
          <w:lang w:val="en"/>
        </w:rPr>
        <w:t>Art. 4</w:t>
      </w:r>
      <w:r>
        <w:rPr>
          <w:rFonts w:ascii="Arial" w:hAnsi="Arial" w:cs="Arial"/>
          <w:sz w:val="22"/>
          <w:szCs w:val="22"/>
          <w:lang w:val="en"/>
        </w:rPr>
        <w:br w:type="textWrapping"/>
      </w:r>
      <w:r>
        <w:rPr>
          <w:rFonts w:ascii="Arial" w:hAnsi="Arial" w:cs="Arial"/>
          <w:b/>
          <w:bCs/>
          <w:sz w:val="22"/>
          <w:szCs w:val="22"/>
          <w:lang w:val="en"/>
        </w:rPr>
        <w:t>Selection procedure and publication of the ranking list</w:t>
      </w:r>
    </w:p>
    <w:p>
      <w:pPr>
        <w:jc w:val="both"/>
        <w:rPr>
          <w:rFonts w:ascii="Arial" w:hAnsi="Arial" w:cs="Arial"/>
          <w:sz w:val="22"/>
          <w:szCs w:val="22"/>
          <w:lang w:val="en-US"/>
        </w:rPr>
      </w:pPr>
    </w:p>
    <w:p>
      <w:pPr>
        <w:jc w:val="both"/>
        <w:rPr>
          <w:rFonts w:ascii="Arial" w:hAnsi="Arial" w:cs="Arial"/>
          <w:sz w:val="22"/>
          <w:szCs w:val="22"/>
          <w:lang w:val="en"/>
        </w:rPr>
      </w:pPr>
      <w:r>
        <w:rPr>
          <w:rFonts w:ascii="Arial" w:hAnsi="Arial" w:cs="Arial"/>
          <w:sz w:val="22"/>
          <w:szCs w:val="22"/>
          <w:lang w:val="en"/>
        </w:rPr>
        <w:t>A Committee appointed by the Rector will analyze the applications and will select students. Students will be ranked in accordance with selection criteria regarding their proficiency in English, their merit coefficient</w:t>
      </w:r>
      <w:r>
        <w:rPr>
          <w:rStyle w:val="11"/>
          <w:rFonts w:ascii="Arial" w:hAnsi="Arial" w:cs="Arial"/>
          <w:sz w:val="22"/>
          <w:szCs w:val="22"/>
          <w:lang w:val="en"/>
        </w:rPr>
        <w:footnoteReference w:id="0"/>
      </w:r>
      <w:r>
        <w:rPr>
          <w:rFonts w:ascii="Arial" w:hAnsi="Arial" w:cs="Arial"/>
          <w:sz w:val="22"/>
          <w:szCs w:val="22"/>
          <w:lang w:val="en"/>
        </w:rPr>
        <w:t xml:space="preserve">, their motivation letter and additional qualifications. </w:t>
      </w:r>
    </w:p>
    <w:p>
      <w:pPr>
        <w:jc w:val="both"/>
        <w:rPr>
          <w:rFonts w:ascii="Arial" w:hAnsi="Arial" w:cs="Arial"/>
          <w:sz w:val="22"/>
          <w:szCs w:val="22"/>
          <w:lang w:val="en-US"/>
        </w:rPr>
      </w:pPr>
    </w:p>
    <w:p>
      <w:pPr>
        <w:jc w:val="both"/>
        <w:rPr>
          <w:rFonts w:ascii="Arial" w:hAnsi="Arial" w:cs="Arial"/>
          <w:sz w:val="22"/>
          <w:szCs w:val="22"/>
          <w:lang w:val="en"/>
        </w:rPr>
      </w:pPr>
      <w:r>
        <w:rPr>
          <w:rFonts w:ascii="Arial" w:hAnsi="Arial" w:cs="Arial"/>
          <w:sz w:val="22"/>
          <w:szCs w:val="22"/>
          <w:lang w:val="en"/>
        </w:rPr>
        <w:t xml:space="preserve">In case of candidates with equal assessment, precedence will be given to the student who has not already benefited from funding for international mobility, in line with the aims of the project. </w:t>
      </w:r>
    </w:p>
    <w:p>
      <w:pPr>
        <w:jc w:val="both"/>
        <w:rPr>
          <w:rFonts w:ascii="Arial" w:hAnsi="Arial" w:cs="Arial"/>
          <w:sz w:val="22"/>
          <w:szCs w:val="22"/>
          <w:lang w:val="en"/>
        </w:rPr>
      </w:pPr>
      <w:r>
        <w:rPr>
          <w:rFonts w:ascii="Arial" w:hAnsi="Arial" w:cs="Arial"/>
          <w:sz w:val="22"/>
          <w:szCs w:val="22"/>
          <w:lang w:val="en"/>
        </w:rPr>
        <w:t>In case of further equal scores, precedence will be given to the student enrolled in a Master's degree programme and, should the equal scores still subsist, to the student who has gained the higher number of ECTS credits.</w:t>
      </w:r>
    </w:p>
    <w:p>
      <w:pPr>
        <w:jc w:val="both"/>
        <w:rPr>
          <w:rFonts w:ascii="Arial" w:hAnsi="Arial" w:cs="Arial"/>
          <w:sz w:val="22"/>
          <w:szCs w:val="22"/>
          <w:lang w:val="en-US"/>
        </w:rPr>
      </w:pPr>
    </w:p>
    <w:p>
      <w:pPr>
        <w:jc w:val="both"/>
        <w:rPr>
          <w:rFonts w:ascii="Arial" w:hAnsi="Arial" w:cs="Arial"/>
          <w:sz w:val="22"/>
          <w:szCs w:val="22"/>
          <w:lang w:val="en"/>
        </w:rPr>
      </w:pPr>
      <w:r>
        <w:rPr>
          <w:rFonts w:ascii="Arial" w:hAnsi="Arial" w:cs="Arial"/>
          <w:sz w:val="22"/>
          <w:szCs w:val="22"/>
          <w:lang w:val="en"/>
        </w:rPr>
        <w:t>Should the Committee deem it necessary, a face-to-face or Skype interview may be arranged: if this is the case, candidates will be notified of the time and place of the interview. Failing to attend the interview will result in the automatic exclusion of the candidate from the selection.</w:t>
      </w:r>
    </w:p>
    <w:p>
      <w:pPr>
        <w:jc w:val="both"/>
        <w:rPr>
          <w:rFonts w:ascii="Arial" w:hAnsi="Arial" w:cs="Arial"/>
          <w:sz w:val="22"/>
          <w:szCs w:val="22"/>
          <w:lang w:val="en-US"/>
        </w:rPr>
      </w:pPr>
    </w:p>
    <w:p>
      <w:pPr>
        <w:jc w:val="both"/>
        <w:rPr>
          <w:rFonts w:ascii="Arial" w:hAnsi="Arial" w:cs="Arial"/>
          <w:sz w:val="22"/>
          <w:szCs w:val="22"/>
          <w:lang w:val="en-US"/>
        </w:rPr>
      </w:pPr>
      <w:r>
        <w:rPr>
          <w:rFonts w:ascii="Arial" w:hAnsi="Arial" w:cs="Arial"/>
          <w:sz w:val="22"/>
          <w:szCs w:val="22"/>
          <w:lang w:val="en"/>
        </w:rPr>
        <w:t>Should the number of applications received be higher than 100, the Committee reserves the right to run a pre-selection considering the merit coefficient.</w:t>
      </w:r>
    </w:p>
    <w:p>
      <w:pPr>
        <w:jc w:val="both"/>
        <w:rPr>
          <w:rFonts w:ascii="Arial" w:hAnsi="Arial" w:cs="Arial"/>
          <w:sz w:val="22"/>
          <w:szCs w:val="22"/>
          <w:lang w:val="en-US"/>
        </w:rPr>
      </w:pPr>
    </w:p>
    <w:p>
      <w:pPr>
        <w:jc w:val="both"/>
        <w:rPr>
          <w:rFonts w:ascii="Arial" w:hAnsi="Arial" w:cs="Arial"/>
          <w:sz w:val="22"/>
          <w:szCs w:val="22"/>
          <w:lang w:val="en-US"/>
        </w:rPr>
      </w:pPr>
      <w:r>
        <w:rPr>
          <w:rFonts w:ascii="Arial" w:hAnsi="Arial" w:cs="Arial"/>
          <w:sz w:val="22"/>
          <w:szCs w:val="22"/>
          <w:lang w:val="en"/>
        </w:rPr>
        <w:t xml:space="preserve">Once the Committee has finalised its task, the ranking list of successful candidates will be published only at: </w:t>
      </w:r>
      <w:r>
        <w:fldChar w:fldCharType="begin"/>
      </w:r>
      <w:r>
        <w:instrText xml:space="preserve"> HYPERLINK "https://www.unipd.it/icpu" </w:instrText>
      </w:r>
      <w:r>
        <w:fldChar w:fldCharType="separate"/>
      </w:r>
      <w:r>
        <w:rPr>
          <w:rStyle w:val="14"/>
          <w:rFonts w:ascii="Arial" w:hAnsi="Arial" w:cs="Arial"/>
          <w:bCs/>
          <w:sz w:val="22"/>
          <w:szCs w:val="22"/>
          <w:lang w:val="en-GB"/>
        </w:rPr>
        <w:t>https://www.unipd.it/icpu</w:t>
      </w:r>
      <w:r>
        <w:rPr>
          <w:rStyle w:val="14"/>
          <w:rFonts w:ascii="Arial" w:hAnsi="Arial" w:cs="Arial"/>
          <w:bCs/>
          <w:sz w:val="22"/>
          <w:szCs w:val="22"/>
          <w:lang w:val="en-GB"/>
        </w:rPr>
        <w:fldChar w:fldCharType="end"/>
      </w:r>
      <w:r>
        <w:rPr>
          <w:rFonts w:ascii="Arial" w:hAnsi="Arial" w:cs="Arial"/>
          <w:bCs/>
          <w:sz w:val="22"/>
          <w:szCs w:val="22"/>
          <w:lang w:val="en-GB"/>
        </w:rPr>
        <w:t xml:space="preserve">  (in Italian) and </w:t>
      </w:r>
      <w:r>
        <w:fldChar w:fldCharType="begin"/>
      </w:r>
      <w:r>
        <w:instrText xml:space="preserve"> HYPERLINK "https://www.unipd.it/en/icpu" </w:instrText>
      </w:r>
      <w:r>
        <w:fldChar w:fldCharType="separate"/>
      </w:r>
      <w:r>
        <w:rPr>
          <w:rStyle w:val="14"/>
          <w:rFonts w:ascii="Arial" w:hAnsi="Arial" w:cs="Arial"/>
          <w:bCs/>
          <w:sz w:val="22"/>
          <w:szCs w:val="22"/>
          <w:lang w:val="en-GB"/>
        </w:rPr>
        <w:t>https://www.unipd.it/en/icpu</w:t>
      </w:r>
      <w:r>
        <w:rPr>
          <w:rStyle w:val="14"/>
          <w:rFonts w:ascii="Arial" w:hAnsi="Arial" w:cs="Arial"/>
          <w:bCs/>
          <w:sz w:val="22"/>
          <w:szCs w:val="22"/>
          <w:lang w:val="en-GB"/>
        </w:rPr>
        <w:fldChar w:fldCharType="end"/>
      </w:r>
      <w:r>
        <w:rPr>
          <w:rFonts w:ascii="Arial" w:hAnsi="Arial" w:cs="Arial"/>
          <w:bCs/>
          <w:sz w:val="22"/>
          <w:szCs w:val="22"/>
          <w:lang w:val="en-GB"/>
        </w:rPr>
        <w:t xml:space="preserve"> (in English) starting </w:t>
      </w:r>
      <w:r>
        <w:rPr>
          <w:rFonts w:ascii="Arial" w:hAnsi="Arial" w:cs="Arial"/>
          <w:sz w:val="22"/>
          <w:szCs w:val="22"/>
          <w:lang w:val="en"/>
        </w:rPr>
        <w:t>from 07</w:t>
      </w:r>
      <w:r>
        <w:rPr>
          <w:rFonts w:ascii="Arial" w:hAnsi="Arial" w:cs="Arial"/>
          <w:sz w:val="22"/>
          <w:szCs w:val="22"/>
          <w:vertAlign w:val="superscript"/>
          <w:lang w:val="en"/>
        </w:rPr>
        <w:t>th</w:t>
      </w:r>
      <w:r>
        <w:rPr>
          <w:rFonts w:ascii="Arial" w:hAnsi="Arial" w:cs="Arial"/>
          <w:sz w:val="22"/>
          <w:szCs w:val="22"/>
          <w:lang w:val="en"/>
        </w:rPr>
        <w:t xml:space="preserve"> April 2021.</w:t>
      </w:r>
    </w:p>
    <w:p>
      <w:pPr>
        <w:jc w:val="both"/>
        <w:rPr>
          <w:rFonts w:ascii="Arial" w:hAnsi="Arial" w:cs="Arial"/>
          <w:b/>
          <w:sz w:val="22"/>
          <w:szCs w:val="22"/>
          <w:lang w:val="en-US"/>
        </w:rPr>
      </w:pPr>
    </w:p>
    <w:p>
      <w:pPr>
        <w:jc w:val="both"/>
        <w:rPr>
          <w:rFonts w:ascii="Arial" w:hAnsi="Arial" w:cs="Arial"/>
          <w:sz w:val="22"/>
          <w:szCs w:val="22"/>
          <w:lang w:val="en"/>
        </w:rPr>
      </w:pPr>
      <w:r>
        <w:rPr>
          <w:rFonts w:ascii="Arial" w:hAnsi="Arial" w:cs="Arial"/>
          <w:sz w:val="22"/>
          <w:szCs w:val="22"/>
          <w:lang w:val="en"/>
        </w:rPr>
        <w:t>Following successful candidates’ withdrawal, replacement positions will be awarded to other eligible candidates in accordance with the final ranking list.</w:t>
      </w:r>
    </w:p>
    <w:p>
      <w:pPr>
        <w:rPr>
          <w:rFonts w:ascii="Arial" w:hAnsi="Arial" w:cs="Arial"/>
          <w:b/>
          <w:sz w:val="22"/>
          <w:szCs w:val="22"/>
          <w:lang w:val="en-GB"/>
        </w:rPr>
      </w:pPr>
    </w:p>
    <w:p>
      <w:pPr>
        <w:rPr>
          <w:rFonts w:ascii="Arial" w:hAnsi="Arial" w:cs="Arial"/>
          <w:b/>
          <w:sz w:val="22"/>
          <w:szCs w:val="22"/>
          <w:lang w:val="en-GB"/>
        </w:rPr>
      </w:pPr>
    </w:p>
    <w:p>
      <w:pPr>
        <w:jc w:val="center"/>
        <w:rPr>
          <w:rFonts w:ascii="Arial" w:hAnsi="Arial" w:cs="Arial"/>
          <w:b/>
          <w:sz w:val="22"/>
          <w:szCs w:val="22"/>
          <w:lang w:val="en-US"/>
        </w:rPr>
      </w:pPr>
      <w:r>
        <w:rPr>
          <w:rFonts w:ascii="Arial" w:hAnsi="Arial" w:cs="Arial"/>
          <w:b/>
          <w:bCs/>
          <w:sz w:val="22"/>
          <w:szCs w:val="22"/>
          <w:lang w:val="en"/>
        </w:rPr>
        <w:t>Art. 5</w:t>
      </w:r>
      <w:r>
        <w:rPr>
          <w:rFonts w:ascii="Arial" w:hAnsi="Arial" w:cs="Arial"/>
          <w:sz w:val="22"/>
          <w:szCs w:val="22"/>
          <w:lang w:val="en"/>
        </w:rPr>
        <w:br w:type="textWrapping"/>
      </w:r>
      <w:r>
        <w:rPr>
          <w:rFonts w:ascii="Arial" w:hAnsi="Arial" w:cs="Arial"/>
          <w:b/>
          <w:bCs/>
          <w:sz w:val="22"/>
          <w:szCs w:val="22"/>
          <w:lang w:val="en"/>
        </w:rPr>
        <w:t>Economic conditions</w:t>
      </w:r>
    </w:p>
    <w:p>
      <w:pPr>
        <w:jc w:val="both"/>
        <w:rPr>
          <w:rFonts w:ascii="Arial" w:hAnsi="Arial" w:cs="Arial"/>
          <w:sz w:val="22"/>
          <w:szCs w:val="22"/>
          <w:lang w:val="en-US"/>
        </w:rPr>
      </w:pPr>
    </w:p>
    <w:p>
      <w:pPr>
        <w:jc w:val="both"/>
        <w:rPr>
          <w:rFonts w:ascii="Arial" w:hAnsi="Arial" w:cs="Arial"/>
          <w:sz w:val="22"/>
          <w:szCs w:val="22"/>
          <w:lang w:val="en-US"/>
        </w:rPr>
      </w:pPr>
      <w:r>
        <w:rPr>
          <w:rFonts w:ascii="Arial" w:hAnsi="Arial" w:cs="Arial"/>
          <w:sz w:val="22"/>
          <w:szCs w:val="22"/>
          <w:lang w:val="en"/>
        </w:rPr>
        <w:t xml:space="preserve">There are no fees to participate in the programme as it deals with a virtual exchange project carried out entirely online. </w:t>
      </w:r>
    </w:p>
    <w:p>
      <w:pPr>
        <w:jc w:val="both"/>
        <w:rPr>
          <w:rFonts w:ascii="Arial" w:hAnsi="Arial" w:cs="Arial"/>
          <w:sz w:val="22"/>
          <w:szCs w:val="22"/>
          <w:lang w:val="en-US"/>
        </w:rPr>
      </w:pPr>
    </w:p>
    <w:p>
      <w:pPr>
        <w:jc w:val="both"/>
        <w:rPr>
          <w:rFonts w:ascii="Arial" w:hAnsi="Arial" w:cs="Arial"/>
          <w:sz w:val="22"/>
          <w:szCs w:val="22"/>
          <w:lang w:val="en-US"/>
        </w:rPr>
      </w:pPr>
    </w:p>
    <w:p>
      <w:pPr>
        <w:jc w:val="center"/>
        <w:rPr>
          <w:rFonts w:ascii="Arial" w:hAnsi="Arial" w:cs="Arial"/>
          <w:b/>
          <w:sz w:val="22"/>
          <w:szCs w:val="22"/>
          <w:lang w:val="en-US"/>
        </w:rPr>
      </w:pPr>
      <w:r>
        <w:rPr>
          <w:rFonts w:ascii="Arial" w:hAnsi="Arial" w:cs="Arial"/>
          <w:b/>
          <w:bCs/>
          <w:sz w:val="22"/>
          <w:szCs w:val="22"/>
          <w:lang w:val="en"/>
        </w:rPr>
        <w:t xml:space="preserve">Art. 6 </w:t>
      </w:r>
      <w:r>
        <w:rPr>
          <w:rFonts w:ascii="Arial" w:hAnsi="Arial" w:cs="Arial"/>
          <w:sz w:val="22"/>
          <w:szCs w:val="22"/>
          <w:lang w:val="en"/>
        </w:rPr>
        <w:br w:type="textWrapping"/>
      </w:r>
      <w:r>
        <w:rPr>
          <w:rFonts w:ascii="Arial" w:hAnsi="Arial" w:cs="Arial"/>
          <w:b/>
          <w:bCs/>
          <w:sz w:val="22"/>
          <w:szCs w:val="22"/>
          <w:lang w:val="en"/>
        </w:rPr>
        <w:t>Person in charge of the procedure and information</w:t>
      </w:r>
    </w:p>
    <w:p>
      <w:pPr>
        <w:jc w:val="both"/>
        <w:rPr>
          <w:rFonts w:ascii="Arial" w:hAnsi="Arial" w:cs="Arial"/>
          <w:sz w:val="22"/>
          <w:szCs w:val="22"/>
          <w:lang w:val="en-US"/>
        </w:rPr>
      </w:pPr>
    </w:p>
    <w:p>
      <w:pPr>
        <w:jc w:val="both"/>
        <w:rPr>
          <w:rFonts w:ascii="Arial" w:hAnsi="Arial" w:cs="Arial"/>
          <w:sz w:val="22"/>
          <w:szCs w:val="22"/>
          <w:lang w:val="en"/>
        </w:rPr>
      </w:pPr>
      <w:r>
        <w:rPr>
          <w:rFonts w:ascii="Arial" w:hAnsi="Arial" w:cs="Arial"/>
          <w:sz w:val="22"/>
          <w:szCs w:val="22"/>
          <w:lang w:val="en"/>
        </w:rPr>
        <w:t xml:space="preserve">The person in charge of the administrative procedure is Ms. Dora Maria Cornelia Longoni, Head of the International Relations Division. </w:t>
      </w:r>
    </w:p>
    <w:p>
      <w:pPr>
        <w:jc w:val="both"/>
        <w:rPr>
          <w:rFonts w:ascii="Arial" w:hAnsi="Arial" w:cs="Arial"/>
          <w:sz w:val="22"/>
          <w:szCs w:val="22"/>
          <w:lang w:val="en-US"/>
        </w:rPr>
      </w:pPr>
    </w:p>
    <w:p>
      <w:pPr>
        <w:jc w:val="both"/>
        <w:rPr>
          <w:rFonts w:ascii="Arial" w:hAnsi="Arial" w:cs="Arial"/>
          <w:sz w:val="22"/>
          <w:szCs w:val="22"/>
          <w:lang w:val="en-US"/>
        </w:rPr>
      </w:pPr>
      <w:r>
        <w:rPr>
          <w:rFonts w:ascii="Arial" w:hAnsi="Arial" w:cs="Arial"/>
          <w:sz w:val="22"/>
          <w:szCs w:val="22"/>
          <w:lang w:val="en"/>
        </w:rPr>
        <w:t>For further information:</w:t>
      </w:r>
    </w:p>
    <w:p>
      <w:pPr>
        <w:jc w:val="both"/>
        <w:rPr>
          <w:rFonts w:ascii="Arial" w:hAnsi="Arial" w:cs="Arial"/>
          <w:sz w:val="22"/>
          <w:szCs w:val="22"/>
          <w:lang w:val="en-US"/>
        </w:rPr>
      </w:pPr>
      <w:r>
        <w:rPr>
          <w:rFonts w:ascii="Arial" w:hAnsi="Arial" w:cs="Arial"/>
          <w:sz w:val="22"/>
          <w:szCs w:val="22"/>
          <w:lang w:val="en"/>
        </w:rPr>
        <w:t>Projects and Mobility Office – Silvia Di Palma</w:t>
      </w:r>
    </w:p>
    <w:p>
      <w:pPr>
        <w:jc w:val="both"/>
        <w:rPr>
          <w:rFonts w:ascii="Arial" w:hAnsi="Arial" w:cs="Arial"/>
          <w:sz w:val="22"/>
          <w:szCs w:val="22"/>
          <w:lang w:val="en-US"/>
        </w:rPr>
      </w:pPr>
      <w:r>
        <w:rPr>
          <w:rFonts w:ascii="Arial" w:hAnsi="Arial" w:cs="Arial"/>
          <w:sz w:val="22"/>
          <w:szCs w:val="22"/>
          <w:lang w:val="en"/>
        </w:rPr>
        <w:t xml:space="preserve">Email: </w:t>
      </w:r>
      <w:r>
        <w:fldChar w:fldCharType="begin"/>
      </w:r>
      <w:r>
        <w:instrText xml:space="preserve"> HYPERLINK "mailto:international.partnerships@unipd.it" </w:instrText>
      </w:r>
      <w:r>
        <w:fldChar w:fldCharType="separate"/>
      </w:r>
      <w:r>
        <w:rPr>
          <w:rStyle w:val="14"/>
          <w:rFonts w:ascii="Arial" w:hAnsi="Arial" w:cs="Arial"/>
          <w:sz w:val="22"/>
          <w:szCs w:val="22"/>
          <w:lang w:val="en"/>
        </w:rPr>
        <w:t>international.partnerships@unipd.it</w:t>
      </w:r>
      <w:r>
        <w:rPr>
          <w:rStyle w:val="14"/>
          <w:rFonts w:ascii="Arial" w:hAnsi="Arial" w:cs="Arial"/>
          <w:sz w:val="22"/>
          <w:szCs w:val="22"/>
          <w:lang w:val="en"/>
        </w:rPr>
        <w:fldChar w:fldCharType="end"/>
      </w:r>
      <w:r>
        <w:rPr>
          <w:rFonts w:ascii="Arial" w:hAnsi="Arial" w:cs="Arial"/>
          <w:sz w:val="22"/>
          <w:szCs w:val="22"/>
          <w:lang w:val="en"/>
        </w:rPr>
        <w:t xml:space="preserve"> </w:t>
      </w:r>
    </w:p>
    <w:p>
      <w:pPr>
        <w:jc w:val="both"/>
        <w:rPr>
          <w:rFonts w:ascii="Arial" w:hAnsi="Arial" w:cs="Arial"/>
          <w:sz w:val="22"/>
          <w:szCs w:val="22"/>
          <w:lang w:val="en-US"/>
        </w:rPr>
      </w:pPr>
      <w:r>
        <w:rPr>
          <w:rFonts w:ascii="Arial" w:hAnsi="Arial" w:cs="Arial"/>
          <w:sz w:val="22"/>
          <w:szCs w:val="22"/>
          <w:lang w:val="en"/>
        </w:rPr>
        <w:t>Phone: +39 049 827 7442</w:t>
      </w:r>
    </w:p>
    <w:p>
      <w:pPr>
        <w:jc w:val="both"/>
        <w:rPr>
          <w:rFonts w:ascii="Arial" w:hAnsi="Arial" w:cs="Arial"/>
          <w:sz w:val="22"/>
          <w:szCs w:val="22"/>
          <w:lang w:val="en-US"/>
        </w:rPr>
      </w:pPr>
    </w:p>
    <w:p>
      <w:pPr>
        <w:jc w:val="both"/>
        <w:rPr>
          <w:rFonts w:ascii="Arial" w:hAnsi="Arial" w:cs="Arial"/>
          <w:sz w:val="22"/>
          <w:szCs w:val="22"/>
          <w:lang w:val="en-US"/>
        </w:rPr>
      </w:pPr>
    </w:p>
    <w:p>
      <w:pPr>
        <w:jc w:val="both"/>
        <w:rPr>
          <w:rFonts w:ascii="Arial" w:hAnsi="Arial" w:cs="Arial"/>
          <w:sz w:val="22"/>
          <w:szCs w:val="22"/>
          <w:lang w:val="en-GB"/>
        </w:rPr>
      </w:pPr>
      <w:r>
        <w:rPr>
          <w:rFonts w:ascii="Arial" w:hAnsi="Arial" w:cs="Arial"/>
          <w:sz w:val="22"/>
          <w:szCs w:val="22"/>
          <w:lang w:val="en"/>
        </w:rPr>
        <w:t xml:space="preserve">Padua, </w:t>
      </w:r>
    </w:p>
    <w:p>
      <w:pPr>
        <w:ind w:left="5954"/>
        <w:jc w:val="center"/>
        <w:rPr>
          <w:rFonts w:ascii="Arial" w:hAnsi="Arial" w:cs="Arial"/>
          <w:sz w:val="22"/>
          <w:szCs w:val="22"/>
          <w:lang w:val="en-GB"/>
        </w:rPr>
      </w:pPr>
    </w:p>
    <w:p>
      <w:pPr>
        <w:ind w:left="5954"/>
        <w:jc w:val="center"/>
        <w:rPr>
          <w:rFonts w:ascii="Arial" w:hAnsi="Arial" w:cs="Arial"/>
          <w:sz w:val="22"/>
          <w:szCs w:val="22"/>
          <w:lang w:val="en-GB"/>
        </w:rPr>
      </w:pPr>
      <w:r>
        <w:rPr>
          <w:rFonts w:ascii="Arial" w:hAnsi="Arial" w:cs="Arial"/>
          <w:sz w:val="22"/>
          <w:szCs w:val="22"/>
          <w:lang w:val="en"/>
        </w:rPr>
        <w:t xml:space="preserve">  </w:t>
      </w:r>
    </w:p>
    <w:p>
      <w:pPr>
        <w:ind w:left="5954"/>
        <w:jc w:val="center"/>
        <w:rPr>
          <w:rFonts w:ascii="Arial" w:hAnsi="Arial" w:cs="Arial"/>
          <w:sz w:val="22"/>
          <w:szCs w:val="22"/>
          <w:lang w:val="en-GB"/>
        </w:rPr>
      </w:pPr>
      <w:r>
        <w:rPr>
          <w:rFonts w:ascii="Arial" w:hAnsi="Arial" w:cs="Arial"/>
          <w:sz w:val="22"/>
          <w:szCs w:val="22"/>
          <w:lang w:val="en"/>
        </w:rPr>
        <w:t>The Rector</w:t>
      </w:r>
    </w:p>
    <w:p>
      <w:pPr>
        <w:ind w:left="5954"/>
        <w:jc w:val="center"/>
        <w:rPr>
          <w:rFonts w:ascii="Arial" w:hAnsi="Arial" w:cs="Arial"/>
          <w:sz w:val="22"/>
          <w:szCs w:val="22"/>
          <w:lang w:val="en"/>
        </w:rPr>
      </w:pPr>
      <w:r>
        <w:rPr>
          <w:rFonts w:ascii="Arial" w:hAnsi="Arial" w:cs="Arial"/>
          <w:sz w:val="22"/>
          <w:szCs w:val="22"/>
          <w:lang w:val="en"/>
        </w:rPr>
        <w:t>Prof. Rosario Rizzuto</w:t>
      </w:r>
    </w:p>
    <w:p>
      <w:pPr>
        <w:ind w:left="5954"/>
        <w:jc w:val="center"/>
        <w:rPr>
          <w:rFonts w:ascii="Arial" w:hAnsi="Arial" w:cs="Arial"/>
          <w:sz w:val="22"/>
          <w:szCs w:val="22"/>
          <w:lang w:val="en"/>
        </w:rPr>
      </w:pPr>
    </w:p>
    <w:p>
      <w:pPr>
        <w:ind w:left="5954"/>
        <w:jc w:val="center"/>
        <w:rPr>
          <w:rFonts w:ascii="Arial" w:hAnsi="Arial" w:cs="Arial"/>
          <w:i/>
          <w:sz w:val="20"/>
          <w:szCs w:val="22"/>
          <w:lang w:val="en-GB"/>
        </w:rPr>
      </w:pPr>
    </w:p>
    <w:sectPr>
      <w:headerReference r:id="rId5" w:type="first"/>
      <w:headerReference r:id="rId4" w:type="default"/>
      <w:footerReference r:id="rId6" w:type="even"/>
      <w:pgSz w:w="11900" w:h="16840"/>
      <w:pgMar w:top="709" w:right="1128" w:bottom="993" w:left="1134" w:header="709" w:footer="0"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Lucida Grande">
    <w:altName w:val="Times New Roman"/>
    <w:panose1 w:val="00000000000000000000"/>
    <w:charset w:val="00"/>
    <w:family w:val="swiss"/>
    <w:pitch w:val="default"/>
    <w:sig w:usb0="00000000" w:usb1="00000000" w:usb2="00000000" w:usb3="00000000" w:csb0="000001BF" w:csb1="00000000"/>
  </w:font>
  <w:font w:name="Symbol">
    <w:panose1 w:val="05050102010706020507"/>
    <w:charset w:val="02"/>
    <w:family w:val="roman"/>
    <w:pitch w:val="default"/>
    <w:sig w:usb0="00000000" w:usb1="00000000" w:usb2="00000000" w:usb3="00000000" w:csb0="80000000" w:csb1="00000000"/>
  </w:font>
  <w:font w:name="Times-Roman">
    <w:altName w:val="Times New Roman"/>
    <w:panose1 w:val="00000000000000000000"/>
    <w:charset w:val="4D"/>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right" w:y="1"/>
      <w:rPr>
        <w:rStyle w:val="17"/>
      </w:rPr>
    </w:pPr>
    <w:r>
      <w:rPr>
        <w:rStyle w:val="17"/>
        <w:lang w:val="en"/>
      </w:rPr>
      <w:fldChar w:fldCharType="begin"/>
    </w:r>
    <w:r>
      <w:rPr>
        <w:rStyle w:val="17"/>
        <w:lang w:val="en"/>
      </w:rPr>
      <w:instrText xml:space="preserve">PAGE  </w:instrText>
    </w:r>
    <w:r>
      <w:rPr>
        <w:rStyle w:val="17"/>
        <w:lang w:val="en"/>
      </w:rPr>
      <w:fldChar w:fldCharType="end"/>
    </w:r>
  </w:p>
  <w:p>
    <w:pPr>
      <w:pStyle w:val="1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2"/>
        <w:jc w:val="both"/>
        <w:rPr>
          <w:rFonts w:ascii="Arial" w:hAnsi="Arial" w:cs="Arial"/>
          <w:lang w:val="en-US"/>
        </w:rPr>
      </w:pPr>
      <w:r>
        <w:rPr>
          <w:rStyle w:val="11"/>
          <w:rFonts w:ascii="Arial" w:hAnsi="Arial" w:cs="Arial"/>
          <w:lang w:val="en"/>
        </w:rPr>
        <w:footnoteRef/>
      </w:r>
      <w:r>
        <w:rPr>
          <w:rFonts w:ascii="Arial" w:hAnsi="Arial" w:cs="Arial"/>
          <w:lang w:val="en"/>
        </w:rPr>
        <w:t xml:space="preserve"> </w:t>
      </w:r>
      <w:r>
        <w:rPr>
          <w:rFonts w:ascii="Arial" w:hAnsi="Arial" w:cs="Arial"/>
          <w:sz w:val="16"/>
          <w:szCs w:val="16"/>
          <w:lang w:val="en-GB"/>
        </w:rPr>
        <w:t>The merit coefficient is calculated as follows: the percentage change of the average of ECTS credits students gain by 10th August compared to the average of ECTS credits for their degree programme (V% Exams) plus the percentage change of the weighted average of grades of students’ examinations compared to the one set for their degree programme; the total is divided by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
      <w:tblW w:w="12191" w:type="dxa"/>
      <w:tblInd w:w="-2302" w:type="dxa"/>
      <w:tblLayout w:type="fixed"/>
      <w:tblCellMar>
        <w:top w:w="0" w:type="dxa"/>
        <w:left w:w="108" w:type="dxa"/>
        <w:bottom w:w="0" w:type="dxa"/>
        <w:right w:w="108" w:type="dxa"/>
      </w:tblCellMar>
    </w:tblPr>
    <w:tblGrid>
      <w:gridCol w:w="2173"/>
      <w:gridCol w:w="6333"/>
      <w:gridCol w:w="3685"/>
    </w:tblGrid>
    <w:tr>
      <w:tblPrEx>
        <w:tblCellMar>
          <w:top w:w="0" w:type="dxa"/>
          <w:left w:w="108" w:type="dxa"/>
          <w:bottom w:w="0" w:type="dxa"/>
          <w:right w:w="108" w:type="dxa"/>
        </w:tblCellMar>
      </w:tblPrEx>
      <w:trPr>
        <w:trHeight w:val="570" w:hRule="atLeast"/>
      </w:trPr>
      <w:tc>
        <w:tcPr>
          <w:tcW w:w="2173" w:type="dxa"/>
          <w:vMerge w:val="restart"/>
        </w:tcPr>
        <w:p>
          <w:pPr>
            <w:widowControl w:val="0"/>
            <w:autoSpaceDE w:val="0"/>
            <w:autoSpaceDN w:val="0"/>
            <w:adjustRightInd w:val="0"/>
            <w:spacing w:line="288" w:lineRule="auto"/>
            <w:textAlignment w:val="center"/>
            <w:rPr>
              <w:rFonts w:ascii="Arial" w:hAnsi="Arial"/>
              <w:b/>
              <w:color w:val="000000"/>
              <w:sz w:val="17"/>
              <w:szCs w:val="17"/>
            </w:rPr>
          </w:pPr>
        </w:p>
      </w:tc>
      <w:tc>
        <w:tcPr>
          <w:tcW w:w="10018" w:type="dxa"/>
          <w:gridSpan w:val="2"/>
        </w:tcPr>
        <w:p>
          <w:pPr>
            <w:tabs>
              <w:tab w:val="right" w:pos="5554"/>
            </w:tabs>
            <w:rPr>
              <w:rFonts w:ascii="Arial" w:hAnsi="Arial" w:cs="Arial"/>
            </w:rPr>
          </w:pPr>
          <w:r>
            <w:rPr>
              <w:lang w:val="en"/>
            </w:rPr>
            <w:tab/>
          </w:r>
        </w:p>
        <w:p>
          <w:pPr>
            <w:ind w:left="744"/>
            <w:rPr>
              <w:rFonts w:ascii="Arial" w:hAnsi="Arial" w:cs="Arial"/>
            </w:rPr>
          </w:pPr>
          <w:r>
            <w:rPr>
              <w:lang w:val="en"/>
            </w:rPr>
            <w:tab/>
          </w:r>
        </w:p>
      </w:tc>
    </w:tr>
    <w:tr>
      <w:tblPrEx>
        <w:tblCellMar>
          <w:top w:w="0" w:type="dxa"/>
          <w:left w:w="108" w:type="dxa"/>
          <w:bottom w:w="0" w:type="dxa"/>
          <w:right w:w="108" w:type="dxa"/>
        </w:tblCellMar>
      </w:tblPrEx>
      <w:trPr>
        <w:trHeight w:val="1132" w:hRule="atLeast"/>
      </w:trPr>
      <w:tc>
        <w:tcPr>
          <w:tcW w:w="2173" w:type="dxa"/>
          <w:vMerge w:val="continue"/>
        </w:tcPr>
        <w:p>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pPr>
            <w:pStyle w:val="19"/>
            <w:spacing w:line="240" w:lineRule="auto"/>
            <w:rPr>
              <w:rFonts w:ascii="Arial" w:hAnsi="Arial" w:cs="Arial"/>
              <w:color w:val="B2071B"/>
              <w:sz w:val="17"/>
              <w:szCs w:val="17"/>
              <w:lang w:val="en"/>
            </w:rPr>
          </w:pPr>
          <w:r>
            <w:rPr>
              <w:rFonts w:ascii="Arial" w:hAnsi="Arial" w:cs="Arial"/>
              <w:color w:val="B2071B"/>
              <w:sz w:val="17"/>
              <w:szCs w:val="17"/>
              <w:lang w:val="en"/>
            </w:rPr>
            <w:t>CENTRAL ADMINISTRATION</w:t>
          </w:r>
        </w:p>
        <w:p>
          <w:pPr>
            <w:pStyle w:val="19"/>
            <w:spacing w:line="240" w:lineRule="auto"/>
            <w:rPr>
              <w:rFonts w:ascii="Arial" w:hAnsi="Arial" w:cs="Arial"/>
              <w:color w:val="B2071B"/>
              <w:sz w:val="17"/>
              <w:szCs w:val="17"/>
              <w:lang w:val="en"/>
            </w:rPr>
          </w:pPr>
          <w:r>
            <w:rPr>
              <w:rFonts w:ascii="Arial" w:hAnsi="Arial" w:cs="Arial"/>
              <w:color w:val="B2071B"/>
              <w:sz w:val="17"/>
              <w:szCs w:val="17"/>
              <w:lang w:val="en"/>
            </w:rPr>
            <w:t>INTERNATIONAL RELATIONS DIVISION</w:t>
          </w:r>
        </w:p>
        <w:p>
          <w:pPr>
            <w:pStyle w:val="19"/>
            <w:spacing w:line="240" w:lineRule="auto"/>
            <w:rPr>
              <w:rFonts w:ascii="Arial" w:hAnsi="Arial" w:cs="Arial"/>
              <w:color w:val="B2071B"/>
              <w:sz w:val="17"/>
              <w:szCs w:val="17"/>
              <w:lang w:val="en"/>
            </w:rPr>
          </w:pPr>
          <w:r>
            <w:rPr>
              <w:rFonts w:ascii="Arial" w:hAnsi="Arial" w:cs="Arial"/>
              <w:color w:val="B2071B"/>
              <w:sz w:val="17"/>
              <w:szCs w:val="17"/>
              <w:lang w:val="en"/>
            </w:rPr>
            <w:t>PROJECTS AND MOBILITY OFFICE</w:t>
          </w:r>
        </w:p>
      </w:tc>
      <w:tc>
        <w:tcPr>
          <w:tcW w:w="3685" w:type="dxa"/>
        </w:tcPr>
        <w:p>
          <w:pPr>
            <w:pStyle w:val="19"/>
            <w:spacing w:line="240" w:lineRule="auto"/>
            <w:rPr>
              <w:rFonts w:ascii="Arial" w:hAnsi="Arial" w:cs="Arial"/>
              <w:color w:val="B2071B"/>
              <w:sz w:val="17"/>
              <w:szCs w:val="17"/>
              <w:lang w:val="en"/>
            </w:rPr>
          </w:pPr>
          <w:r>
            <w:rPr>
              <w:rFonts w:ascii="Arial" w:hAnsi="Arial" w:cs="Arial"/>
              <w:color w:val="B2071B"/>
              <w:sz w:val="17"/>
              <w:szCs w:val="17"/>
              <w:lang w:eastAsia="it-IT"/>
            </w:rPr>
            <w:drawing>
              <wp:inline distT="0" distB="0" distL="0" distR="0">
                <wp:extent cx="165100" cy="101600"/>
                <wp:effectExtent l="25400" t="0" r="0" b="0"/>
                <wp:docPr id="15" name="Immagine 15"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romboCOL"/>
                        <pic:cNvPicPr>
                          <a:picLocks noChangeAspect="1" noChangeArrowheads="1"/>
                        </pic:cNvPicPr>
                      </pic:nvPicPr>
                      <pic:blipFill>
                        <a:blip r:embed="rId1"/>
                        <a:srcRect/>
                        <a:stretch>
                          <a:fillRect/>
                        </a:stretch>
                      </pic:blipFill>
                      <pic:spPr>
                        <a:xfrm>
                          <a:off x="0" y="0"/>
                          <a:ext cx="165100" cy="101600"/>
                        </a:xfrm>
                        <a:prstGeom prst="rect">
                          <a:avLst/>
                        </a:prstGeom>
                        <a:noFill/>
                        <a:ln w="9525">
                          <a:noFill/>
                          <a:miter lim="800000"/>
                          <a:headEnd/>
                          <a:tailEnd/>
                        </a:ln>
                      </pic:spPr>
                    </pic:pic>
                  </a:graphicData>
                </a:graphic>
              </wp:inline>
            </w:drawing>
          </w:r>
          <w:r>
            <w:rPr>
              <w:rFonts w:ascii="Arial" w:hAnsi="Arial" w:cs="Arial"/>
              <w:color w:val="B2071B"/>
              <w:sz w:val="17"/>
              <w:szCs w:val="17"/>
              <w:lang w:val="en"/>
            </w:rPr>
            <w:t xml:space="preserve"> UNIVERSITY OF PADUA</w:t>
          </w:r>
          <w:r>
            <w:rPr>
              <w:rFonts w:ascii="Arial" w:hAnsi="Arial" w:cs="Arial"/>
              <w:color w:val="B2071B"/>
              <w:sz w:val="17"/>
              <w:szCs w:val="17"/>
              <w:lang w:val="en"/>
            </w:rPr>
            <w:tab/>
          </w:r>
        </w:p>
      </w:tc>
    </w:tr>
  </w:tbl>
  <w:p>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
      <w:tblW w:w="11072" w:type="dxa"/>
      <w:tblInd w:w="-1239" w:type="dxa"/>
      <w:tblBorders>
        <w:top w:val="none" w:color="auto" w:sz="0" w:space="0"/>
        <w:left w:val="none" w:color="auto" w:sz="0" w:space="0"/>
        <w:bottom w:val="single" w:color="B23021" w:sz="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8"/>
      <w:gridCol w:w="3825"/>
      <w:gridCol w:w="6009"/>
    </w:tblGrid>
    <w:tr>
      <w:tblPrEx>
        <w:tblBorders>
          <w:top w:val="none" w:color="auto" w:sz="0" w:space="0"/>
          <w:left w:val="none" w:color="auto" w:sz="0" w:space="0"/>
          <w:bottom w:val="single" w:color="B23021" w:sz="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1238" w:type="dxa"/>
        </w:tcPr>
        <w:p>
          <w:pPr>
            <w:pStyle w:val="19"/>
            <w:ind w:hanging="760"/>
            <w:rPr>
              <w:rFonts w:ascii="Arial" w:hAnsi="Arial"/>
              <w:b/>
              <w:sz w:val="17"/>
              <w:szCs w:val="17"/>
            </w:rPr>
          </w:pPr>
        </w:p>
      </w:tc>
      <w:tc>
        <w:tcPr>
          <w:tcW w:w="3825" w:type="dxa"/>
        </w:tcPr>
        <w:p>
          <w:pPr>
            <w:tabs>
              <w:tab w:val="right" w:pos="5554"/>
            </w:tabs>
            <w:rPr>
              <w:rFonts w:ascii="Arial" w:hAnsi="Arial" w:cs="Arial"/>
            </w:rPr>
          </w:pPr>
          <w:r>
            <w:rPr>
              <w:lang w:val="en"/>
            </w:rPr>
            <w:tab/>
          </w:r>
        </w:p>
        <w:p>
          <w:pPr>
            <w:pStyle w:val="19"/>
            <w:spacing w:line="240" w:lineRule="auto"/>
            <w:rPr>
              <w:rFonts w:ascii="Arial" w:hAnsi="Arial" w:cs="Arial"/>
              <w:b/>
              <w:color w:val="B2071B"/>
              <w:sz w:val="17"/>
              <w:szCs w:val="17"/>
              <w:lang w:val="en-US"/>
            </w:rPr>
          </w:pPr>
          <w:r>
            <w:rPr>
              <w:rFonts w:ascii="Arial" w:hAnsi="Arial" w:cs="Arial"/>
              <w:b/>
              <w:bCs/>
              <w:color w:val="B2071B"/>
              <w:sz w:val="17"/>
              <w:szCs w:val="17"/>
              <w:lang w:val="en"/>
            </w:rPr>
            <w:t>CENTRAL ADMINISTRATION</w:t>
          </w:r>
        </w:p>
        <w:p>
          <w:pPr>
            <w:pStyle w:val="19"/>
            <w:spacing w:line="240" w:lineRule="auto"/>
            <w:rPr>
              <w:rFonts w:ascii="Arial" w:hAnsi="Arial" w:cs="Arial"/>
              <w:color w:val="B2071B"/>
              <w:sz w:val="17"/>
              <w:szCs w:val="17"/>
              <w:lang w:val="en-US"/>
            </w:rPr>
          </w:pPr>
          <w:r>
            <w:rPr>
              <w:rFonts w:ascii="Arial" w:hAnsi="Arial" w:cs="Arial"/>
              <w:color w:val="B2071B"/>
              <w:sz w:val="17"/>
              <w:szCs w:val="17"/>
              <w:lang w:val="en"/>
            </w:rPr>
            <w:t>INTERNATIONAL RELATIONS DIVISION</w:t>
          </w:r>
        </w:p>
        <w:p>
          <w:pPr>
            <w:pStyle w:val="19"/>
            <w:spacing w:line="240" w:lineRule="auto"/>
            <w:rPr>
              <w:rFonts w:ascii="Arial" w:hAnsi="Arial" w:cs="Arial"/>
              <w:color w:val="B2071B"/>
              <w:sz w:val="17"/>
              <w:szCs w:val="17"/>
              <w:lang w:val="en-US"/>
            </w:rPr>
          </w:pPr>
          <w:r>
            <w:rPr>
              <w:rFonts w:ascii="Arial" w:hAnsi="Arial" w:cs="Arial"/>
              <w:color w:val="B2071B"/>
              <w:sz w:val="17"/>
              <w:szCs w:val="17"/>
              <w:lang w:val="en"/>
            </w:rPr>
            <w:t>PROJECTS AND MOBILITY OFFICE</w:t>
          </w:r>
        </w:p>
        <w:p>
          <w:pPr>
            <w:tabs>
              <w:tab w:val="left" w:pos="4880"/>
            </w:tabs>
            <w:rPr>
              <w:rFonts w:ascii="Arial" w:hAnsi="Arial" w:cs="Arial"/>
              <w:lang w:val="en-US"/>
            </w:rPr>
          </w:pPr>
          <w:r>
            <w:rPr>
              <w:lang w:val="en"/>
            </w:rPr>
            <w:tab/>
          </w:r>
        </w:p>
        <w:p>
          <w:pPr>
            <w:jc w:val="center"/>
            <w:rPr>
              <w:rFonts w:ascii="Arial" w:hAnsi="Arial" w:cs="Arial"/>
              <w:lang w:val="en-US"/>
            </w:rPr>
          </w:pPr>
        </w:p>
      </w:tc>
      <w:tc>
        <w:tcPr>
          <w:tcW w:w="6009" w:type="dxa"/>
        </w:tcPr>
        <w:p>
          <w:pPr>
            <w:ind w:left="1454"/>
            <w:jc w:val="center"/>
          </w:pPr>
          <w:r>
            <w:rPr>
              <w:lang w:eastAsia="it-IT"/>
            </w:rPr>
            <w:drawing>
              <wp:inline distT="0" distB="0" distL="0" distR="0">
                <wp:extent cx="2717165" cy="755650"/>
                <wp:effectExtent l="0" t="0" r="635"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a:picLocks noChangeAspect="1"/>
                        </pic:cNvPicPr>
                      </pic:nvPicPr>
                      <pic:blipFill>
                        <a:blip r:embed="rId1"/>
                        <a:stretch>
                          <a:fillRect/>
                        </a:stretch>
                      </pic:blipFill>
                      <pic:spPr>
                        <a:xfrm>
                          <a:off x="0" y="0"/>
                          <a:ext cx="2717766" cy="756000"/>
                        </a:xfrm>
                        <a:prstGeom prst="rect">
                          <a:avLst/>
                        </a:prstGeom>
                      </pic:spPr>
                    </pic:pic>
                  </a:graphicData>
                </a:graphic>
              </wp:inline>
            </w:drawing>
          </w:r>
        </w:p>
      </w:tc>
    </w:tr>
  </w:tbl>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pPr>
      <w:rPr>
        <w:rFonts w:hint="default" w:ascii="Symbol" w:hAnsi="Symbol"/>
      </w:rPr>
    </w:lvl>
  </w:abstractNum>
  <w:abstractNum w:abstractNumId="1">
    <w:nsid w:val="3F2F1E3B"/>
    <w:multiLevelType w:val="multilevel"/>
    <w:tmpl w:val="3F2F1E3B"/>
    <w:lvl w:ilvl="0" w:tentative="0">
      <w:start w:val="1"/>
      <w:numFmt w:val="low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75191868"/>
    <w:multiLevelType w:val="multilevel"/>
    <w:tmpl w:val="75191868"/>
    <w:lvl w:ilvl="0" w:tentative="0">
      <w:start w:val="1"/>
      <w:numFmt w:val="lowerLetter"/>
      <w:lvlText w:val="%1)"/>
      <w:lvlJc w:val="left"/>
      <w:pPr>
        <w:ind w:left="720" w:hanging="360"/>
      </w:pPr>
      <w:rPr>
        <w:rFonts w:hint="default"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0"/>
  <w:hyphenationZone w:val="283"/>
  <w:displayHorizontalDrawingGridEvery w:val="0"/>
  <w:displayVerticalDrawingGridEvery w:val="0"/>
  <w:doNotUseMarginsForDrawingGridOrigin w:val="1"/>
  <w:drawingGridHorizontalOrigin w:val="1800"/>
  <w:drawingGridVerticalOrigin w:val="1440"/>
  <w:noPunctuationKerning w:val="1"/>
  <w:characterSpacingControl w:val="doNotCompress"/>
  <w:footnotePr>
    <w:footnote w:id="2"/>
    <w:footnote w:id="3"/>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46"/>
    <w:rsid w:val="000208B7"/>
    <w:rsid w:val="000865DF"/>
    <w:rsid w:val="000C30EC"/>
    <w:rsid w:val="000E2E34"/>
    <w:rsid w:val="001216F4"/>
    <w:rsid w:val="00133A52"/>
    <w:rsid w:val="00135929"/>
    <w:rsid w:val="00145862"/>
    <w:rsid w:val="00147243"/>
    <w:rsid w:val="0015128C"/>
    <w:rsid w:val="00153FF2"/>
    <w:rsid w:val="001717A6"/>
    <w:rsid w:val="00194240"/>
    <w:rsid w:val="001B7E86"/>
    <w:rsid w:val="001E2B82"/>
    <w:rsid w:val="002B3564"/>
    <w:rsid w:val="002D5051"/>
    <w:rsid w:val="002F1903"/>
    <w:rsid w:val="00315CAB"/>
    <w:rsid w:val="0034794C"/>
    <w:rsid w:val="00356404"/>
    <w:rsid w:val="0036005A"/>
    <w:rsid w:val="00364598"/>
    <w:rsid w:val="00364F77"/>
    <w:rsid w:val="00391E74"/>
    <w:rsid w:val="00397D07"/>
    <w:rsid w:val="003A29BE"/>
    <w:rsid w:val="003B1A2B"/>
    <w:rsid w:val="003B3EE3"/>
    <w:rsid w:val="0040197B"/>
    <w:rsid w:val="00405FF2"/>
    <w:rsid w:val="0042222C"/>
    <w:rsid w:val="00472E2C"/>
    <w:rsid w:val="004868FA"/>
    <w:rsid w:val="0049085F"/>
    <w:rsid w:val="0049156F"/>
    <w:rsid w:val="004C3ADE"/>
    <w:rsid w:val="004D17F0"/>
    <w:rsid w:val="00512F29"/>
    <w:rsid w:val="00545D3B"/>
    <w:rsid w:val="00563E01"/>
    <w:rsid w:val="005862B8"/>
    <w:rsid w:val="005A10B9"/>
    <w:rsid w:val="005C3903"/>
    <w:rsid w:val="005E5F53"/>
    <w:rsid w:val="00613837"/>
    <w:rsid w:val="00613FE4"/>
    <w:rsid w:val="00650B04"/>
    <w:rsid w:val="006604A7"/>
    <w:rsid w:val="006750E1"/>
    <w:rsid w:val="006868C7"/>
    <w:rsid w:val="006A196C"/>
    <w:rsid w:val="006E2245"/>
    <w:rsid w:val="006E28D3"/>
    <w:rsid w:val="006E40CD"/>
    <w:rsid w:val="006F4F66"/>
    <w:rsid w:val="007046DB"/>
    <w:rsid w:val="00731C3B"/>
    <w:rsid w:val="00735BE2"/>
    <w:rsid w:val="00737F3F"/>
    <w:rsid w:val="0077674A"/>
    <w:rsid w:val="00795681"/>
    <w:rsid w:val="007B52A7"/>
    <w:rsid w:val="007C3E22"/>
    <w:rsid w:val="007E167D"/>
    <w:rsid w:val="008003CB"/>
    <w:rsid w:val="00846EBC"/>
    <w:rsid w:val="00875743"/>
    <w:rsid w:val="00890F3B"/>
    <w:rsid w:val="00893937"/>
    <w:rsid w:val="008A7DD4"/>
    <w:rsid w:val="008B48F9"/>
    <w:rsid w:val="008B5C37"/>
    <w:rsid w:val="008D42AB"/>
    <w:rsid w:val="008D436A"/>
    <w:rsid w:val="00946647"/>
    <w:rsid w:val="009509EA"/>
    <w:rsid w:val="00966DE9"/>
    <w:rsid w:val="009A19AE"/>
    <w:rsid w:val="009A6B65"/>
    <w:rsid w:val="009C1746"/>
    <w:rsid w:val="00A14F2A"/>
    <w:rsid w:val="00A42B9B"/>
    <w:rsid w:val="00A50252"/>
    <w:rsid w:val="00A66B19"/>
    <w:rsid w:val="00B0004E"/>
    <w:rsid w:val="00B01B0D"/>
    <w:rsid w:val="00B12CEC"/>
    <w:rsid w:val="00B214E3"/>
    <w:rsid w:val="00B74942"/>
    <w:rsid w:val="00B76052"/>
    <w:rsid w:val="00B817B6"/>
    <w:rsid w:val="00B81DE5"/>
    <w:rsid w:val="00BB21D0"/>
    <w:rsid w:val="00BD01AA"/>
    <w:rsid w:val="00C17B1A"/>
    <w:rsid w:val="00C40A89"/>
    <w:rsid w:val="00C45DCF"/>
    <w:rsid w:val="00C67D8F"/>
    <w:rsid w:val="00C7146B"/>
    <w:rsid w:val="00C90A4A"/>
    <w:rsid w:val="00CB0193"/>
    <w:rsid w:val="00CB4532"/>
    <w:rsid w:val="00CB7CA5"/>
    <w:rsid w:val="00D00049"/>
    <w:rsid w:val="00D23C98"/>
    <w:rsid w:val="00D23FE8"/>
    <w:rsid w:val="00D435B9"/>
    <w:rsid w:val="00D50055"/>
    <w:rsid w:val="00D5424B"/>
    <w:rsid w:val="00D60F04"/>
    <w:rsid w:val="00D64EC5"/>
    <w:rsid w:val="00DA6B0B"/>
    <w:rsid w:val="00DE4B8B"/>
    <w:rsid w:val="00DE6299"/>
    <w:rsid w:val="00DF1A57"/>
    <w:rsid w:val="00DF1BFD"/>
    <w:rsid w:val="00E00101"/>
    <w:rsid w:val="00E06256"/>
    <w:rsid w:val="00E1366E"/>
    <w:rsid w:val="00E17DE7"/>
    <w:rsid w:val="00E203C9"/>
    <w:rsid w:val="00E3593B"/>
    <w:rsid w:val="00E45BEA"/>
    <w:rsid w:val="00E475C7"/>
    <w:rsid w:val="00E52C31"/>
    <w:rsid w:val="00E64C4F"/>
    <w:rsid w:val="00E82545"/>
    <w:rsid w:val="00E831FD"/>
    <w:rsid w:val="00E90D81"/>
    <w:rsid w:val="00EA1BC5"/>
    <w:rsid w:val="00EA3B16"/>
    <w:rsid w:val="00EA407F"/>
    <w:rsid w:val="00F00CDE"/>
    <w:rsid w:val="00F1597A"/>
    <w:rsid w:val="00F64653"/>
    <w:rsid w:val="00F64DAF"/>
    <w:rsid w:val="00F854F2"/>
    <w:rsid w:val="00FB1632"/>
    <w:rsid w:val="0CA90EE8"/>
    <w:rsid w:val="14042F28"/>
    <w:rsid w:val="2D143E23"/>
  </w:rsids>
  <m:mathPr>
    <m:mathFont m:val="Cambria Math"/>
    <m:brkBin m:val="before"/>
    <m:brkBinSub m:val="--"/>
    <m:smallFrac m:val="1"/>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99" w:name="annotation text"/>
    <w:lsdException w:qFormat="1" w:unhideWhenUsed="0" w:uiPriority="0" w:semiHidden="0" w:name="header"/>
    <w:lsdException w:qFormat="1" w:unhideWhenUsed="0" w:uiPriority="0" w:semiHidden="0" w:name="footer"/>
    <w:lsdException w:uiPriority="0" w:name="index heading"/>
    <w:lsdException w:uiPriority="0" w:name="caption"/>
    <w:lsdException w:uiPriority="0" w:name="table of figures"/>
    <w:lsdException w:uiPriority="0" w:name="envelope address"/>
    <w:lsdException w:uiPriority="0" w:name="envelope return"/>
    <w:lsdException w:qFormat="1" w:uiPriority="0" w:name="footnote reference"/>
    <w:lsdException w:qFormat="1"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iPriority="99"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it-IT"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3"/>
    <w:semiHidden/>
    <w:unhideWhenUsed/>
    <w:qFormat/>
    <w:uiPriority w:val="99"/>
    <w:rPr>
      <w:rFonts w:ascii="Tahoma" w:hAnsi="Tahoma" w:cs="Tahoma"/>
      <w:sz w:val="16"/>
      <w:szCs w:val="16"/>
    </w:rPr>
  </w:style>
  <w:style w:type="character" w:styleId="5">
    <w:name w:val="annotation reference"/>
    <w:semiHidden/>
    <w:unhideWhenUsed/>
    <w:qFormat/>
    <w:uiPriority w:val="99"/>
    <w:rPr>
      <w:sz w:val="16"/>
      <w:szCs w:val="16"/>
    </w:rPr>
  </w:style>
  <w:style w:type="paragraph" w:styleId="6">
    <w:name w:val="annotation text"/>
    <w:basedOn w:val="1"/>
    <w:link w:val="26"/>
    <w:semiHidden/>
    <w:unhideWhenUsed/>
    <w:qFormat/>
    <w:uiPriority w:val="99"/>
    <w:rPr>
      <w:sz w:val="20"/>
      <w:szCs w:val="20"/>
    </w:rPr>
  </w:style>
  <w:style w:type="paragraph" w:styleId="7">
    <w:name w:val="annotation subject"/>
    <w:basedOn w:val="6"/>
    <w:next w:val="6"/>
    <w:link w:val="29"/>
    <w:semiHidden/>
    <w:unhideWhenUsed/>
    <w:qFormat/>
    <w:uiPriority w:val="0"/>
    <w:rPr>
      <w:b/>
      <w:bCs/>
    </w:rPr>
  </w:style>
  <w:style w:type="paragraph" w:styleId="8">
    <w:name w:val="Document Map"/>
    <w:basedOn w:val="1"/>
    <w:link w:val="24"/>
    <w:semiHidden/>
    <w:unhideWhenUsed/>
    <w:qFormat/>
    <w:uiPriority w:val="99"/>
    <w:rPr>
      <w:rFonts w:ascii="Lucida Grande" w:hAnsi="Lucida Grande"/>
    </w:rPr>
  </w:style>
  <w:style w:type="character" w:styleId="9">
    <w:name w:val="FollowedHyperlink"/>
    <w:basedOn w:val="2"/>
    <w:qFormat/>
    <w:uiPriority w:val="0"/>
    <w:rPr>
      <w:color w:val="800080" w:themeColor="followedHyperlink"/>
      <w:u w:val="single"/>
      <w14:textFill>
        <w14:solidFill>
          <w14:schemeClr w14:val="folHlink"/>
        </w14:solidFill>
      </w14:textFill>
    </w:rPr>
  </w:style>
  <w:style w:type="paragraph" w:styleId="10">
    <w:name w:val="footer"/>
    <w:basedOn w:val="1"/>
    <w:link w:val="25"/>
    <w:qFormat/>
    <w:uiPriority w:val="0"/>
    <w:pPr>
      <w:tabs>
        <w:tab w:val="center" w:pos="4153"/>
        <w:tab w:val="right" w:pos="8306"/>
      </w:tabs>
    </w:pPr>
  </w:style>
  <w:style w:type="character" w:styleId="11">
    <w:name w:val="footnote reference"/>
    <w:basedOn w:val="2"/>
    <w:semiHidden/>
    <w:unhideWhenUsed/>
    <w:qFormat/>
    <w:uiPriority w:val="0"/>
    <w:rPr>
      <w:vertAlign w:val="superscript"/>
    </w:rPr>
  </w:style>
  <w:style w:type="paragraph" w:styleId="12">
    <w:name w:val="footnote text"/>
    <w:basedOn w:val="1"/>
    <w:link w:val="28"/>
    <w:semiHidden/>
    <w:unhideWhenUsed/>
    <w:qFormat/>
    <w:uiPriority w:val="0"/>
    <w:rPr>
      <w:sz w:val="20"/>
      <w:szCs w:val="20"/>
    </w:rPr>
  </w:style>
  <w:style w:type="paragraph" w:styleId="13">
    <w:name w:val="header"/>
    <w:basedOn w:val="1"/>
    <w:qFormat/>
    <w:uiPriority w:val="0"/>
    <w:pPr>
      <w:tabs>
        <w:tab w:val="center" w:pos="4153"/>
        <w:tab w:val="right" w:pos="8306"/>
      </w:tabs>
    </w:pPr>
  </w:style>
  <w:style w:type="character" w:styleId="14">
    <w:name w:val="Hyperlink"/>
    <w:basedOn w:val="2"/>
    <w:qFormat/>
    <w:uiPriority w:val="0"/>
    <w:rPr>
      <w:color w:val="0000FF" w:themeColor="hyperlink"/>
      <w:u w:val="single"/>
      <w14:textFill>
        <w14:solidFill>
          <w14:schemeClr w14:val="hlink"/>
        </w14:solidFill>
      </w14:textFill>
    </w:rPr>
  </w:style>
  <w:style w:type="paragraph" w:styleId="15">
    <w:name w:val="List Bullet"/>
    <w:basedOn w:val="1"/>
    <w:qFormat/>
    <w:uiPriority w:val="0"/>
    <w:pPr>
      <w:numPr>
        <w:ilvl w:val="0"/>
        <w:numId w:val="1"/>
      </w:numPr>
    </w:pPr>
  </w:style>
  <w:style w:type="paragraph" w:styleId="16">
    <w:name w:val="Normal (Web)"/>
    <w:basedOn w:val="1"/>
    <w:semiHidden/>
    <w:unhideWhenUsed/>
    <w:qFormat/>
    <w:uiPriority w:val="99"/>
    <w:pPr>
      <w:spacing w:before="100" w:beforeAutospacing="1" w:after="100" w:afterAutospacing="1"/>
    </w:pPr>
    <w:rPr>
      <w:lang w:eastAsia="it-IT"/>
    </w:rPr>
  </w:style>
  <w:style w:type="character" w:styleId="17">
    <w:name w:val="page number"/>
    <w:basedOn w:val="2"/>
    <w:qFormat/>
    <w:uiPriority w:val="0"/>
  </w:style>
  <w:style w:type="table" w:styleId="18">
    <w:name w:val="Table Grid"/>
    <w:basedOn w:val="3"/>
    <w:qFormat/>
    <w:uiPriority w:val="0"/>
    <w:tblPr>
      <w:tblBorders>
        <w:insideH w:val="single" w:color="auto" w:sz="4" w:space="0"/>
      </w:tblBorders>
    </w:tblPr>
  </w:style>
  <w:style w:type="paragraph" w:customStyle="1" w:styleId="19">
    <w:name w:val="NormalParagraphStyle"/>
    <w:basedOn w:val="1"/>
    <w:qFormat/>
    <w:uiPriority w:val="0"/>
    <w:pPr>
      <w:widowControl w:val="0"/>
      <w:autoSpaceDE w:val="0"/>
      <w:autoSpaceDN w:val="0"/>
      <w:adjustRightInd w:val="0"/>
      <w:spacing w:line="288" w:lineRule="auto"/>
      <w:textAlignment w:val="center"/>
    </w:pPr>
    <w:rPr>
      <w:rFonts w:ascii="Times-Roman" w:hAnsi="Times-Roman"/>
      <w:color w:val="000000"/>
    </w:rPr>
  </w:style>
  <w:style w:type="paragraph" w:customStyle="1" w:styleId="20">
    <w:name w:val="Corpo Testo Unipd"/>
    <w:basedOn w:val="1"/>
    <w:uiPriority w:val="0"/>
    <w:pPr>
      <w:spacing w:after="60" w:line="288" w:lineRule="auto"/>
      <w:jc w:val="both"/>
    </w:pPr>
    <w:rPr>
      <w:rFonts w:ascii="Arial" w:hAnsi="Arial" w:cs="Arial"/>
      <w:sz w:val="17"/>
      <w:szCs w:val="22"/>
      <w:lang w:eastAsia="it-IT"/>
    </w:rPr>
  </w:style>
  <w:style w:type="paragraph" w:customStyle="1" w:styleId="21">
    <w:name w:val="Unipd Decreta"/>
    <w:basedOn w:val="1"/>
    <w:uiPriority w:val="0"/>
    <w:pPr>
      <w:jc w:val="center"/>
    </w:pPr>
    <w:rPr>
      <w:rFonts w:ascii="Arial" w:hAnsi="Arial" w:cs="Arial"/>
      <w:b/>
      <w:sz w:val="22"/>
      <w:szCs w:val="22"/>
      <w:lang w:eastAsia="it-IT"/>
    </w:rPr>
  </w:style>
  <w:style w:type="paragraph" w:customStyle="1" w:styleId="22">
    <w:name w:val="Stile Unipd Decreta + prima 6 pt  dopo 6 pt"/>
    <w:basedOn w:val="21"/>
    <w:uiPriority w:val="0"/>
    <w:pPr>
      <w:spacing w:before="240" w:after="240"/>
    </w:pPr>
    <w:rPr>
      <w:rFonts w:cs="Times New Roman"/>
      <w:bCs/>
      <w:szCs w:val="20"/>
    </w:rPr>
  </w:style>
  <w:style w:type="character" w:customStyle="1" w:styleId="23">
    <w:name w:val="Testo fumetto Carattere"/>
    <w:basedOn w:val="2"/>
    <w:link w:val="4"/>
    <w:semiHidden/>
    <w:uiPriority w:val="99"/>
    <w:rPr>
      <w:rFonts w:ascii="Tahoma" w:hAnsi="Tahoma" w:cs="Tahoma"/>
      <w:sz w:val="16"/>
      <w:szCs w:val="16"/>
      <w:lang w:eastAsia="en-US"/>
    </w:rPr>
  </w:style>
  <w:style w:type="character" w:customStyle="1" w:styleId="24">
    <w:name w:val="Mappa documento Carattere"/>
    <w:basedOn w:val="2"/>
    <w:link w:val="8"/>
    <w:semiHidden/>
    <w:uiPriority w:val="99"/>
    <w:rPr>
      <w:rFonts w:ascii="Lucida Grande" w:hAnsi="Lucida Grande"/>
      <w:sz w:val="24"/>
      <w:szCs w:val="24"/>
      <w:lang w:eastAsia="en-US"/>
    </w:rPr>
  </w:style>
  <w:style w:type="character" w:customStyle="1" w:styleId="25">
    <w:name w:val="Piè di pagina Carattere"/>
    <w:link w:val="10"/>
    <w:uiPriority w:val="0"/>
    <w:rPr>
      <w:lang w:eastAsia="en-US"/>
    </w:rPr>
  </w:style>
  <w:style w:type="character" w:customStyle="1" w:styleId="26">
    <w:name w:val="Testo commento Carattere"/>
    <w:basedOn w:val="2"/>
    <w:link w:val="6"/>
    <w:semiHidden/>
    <w:uiPriority w:val="99"/>
    <w:rPr>
      <w:sz w:val="20"/>
      <w:szCs w:val="20"/>
      <w:lang w:eastAsia="en-US"/>
    </w:rPr>
  </w:style>
  <w:style w:type="paragraph" w:styleId="27">
    <w:name w:val="List Paragraph"/>
    <w:basedOn w:val="1"/>
    <w:qFormat/>
    <w:uiPriority w:val="0"/>
    <w:pPr>
      <w:ind w:left="720"/>
      <w:contextualSpacing/>
    </w:pPr>
  </w:style>
  <w:style w:type="character" w:customStyle="1" w:styleId="28">
    <w:name w:val="Testo nota a piè di pagina Carattere"/>
    <w:basedOn w:val="2"/>
    <w:link w:val="12"/>
    <w:semiHidden/>
    <w:uiPriority w:val="0"/>
    <w:rPr>
      <w:sz w:val="20"/>
      <w:szCs w:val="20"/>
      <w:lang w:eastAsia="en-US"/>
    </w:rPr>
  </w:style>
  <w:style w:type="character" w:customStyle="1" w:styleId="29">
    <w:name w:val="Soggetto commento Carattere"/>
    <w:basedOn w:val="26"/>
    <w:link w:val="7"/>
    <w:semiHidden/>
    <w:uiPriority w:val="0"/>
    <w:rPr>
      <w:b/>
      <w:bCs/>
      <w:sz w:val="20"/>
      <w:szCs w:val="20"/>
      <w:lang w:eastAsia="en-US"/>
    </w:rPr>
  </w:style>
  <w:style w:type="paragraph" w:customStyle="1" w:styleId="30">
    <w:name w:val="Normal1"/>
    <w:uiPriority w:val="0"/>
    <w:pPr>
      <w:jc w:val="both"/>
    </w:pPr>
    <w:rPr>
      <w:rFonts w:ascii="Calibri" w:hAnsi="Calibri" w:eastAsia="SimSun" w:cs="Calibri"/>
      <w:sz w:val="24"/>
      <w:szCs w:val="24"/>
      <w:lang w:val="it-IT" w:eastAsia="it-IT" w:bidi="ar-SA"/>
    </w:rPr>
  </w:style>
  <w:style w:type="character" w:customStyle="1" w:styleId="31">
    <w:name w:val="Unresolved Mention"/>
    <w:basedOn w:val="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CF6BF7-C6EA-44D8-8197-183CD2C79788}">
  <ds:schemaRefs/>
</ds:datastoreItem>
</file>

<file path=docProps/app.xml><?xml version="1.0" encoding="utf-8"?>
<Properties xmlns="http://schemas.openxmlformats.org/officeDocument/2006/extended-properties" xmlns:vt="http://schemas.openxmlformats.org/officeDocument/2006/docPropsVTypes">
  <Template>Modello carta intestata.dotx</Template>
  <Company>Università degli Studi di Padova</Company>
  <Pages>3</Pages>
  <Words>1062</Words>
  <Characters>6056</Characters>
  <Lines>50</Lines>
  <Paragraphs>14</Paragraphs>
  <TotalTime>77</TotalTime>
  <ScaleCrop>false</ScaleCrop>
  <LinksUpToDate>false</LinksUpToDate>
  <CharactersWithSpaces>7104</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2021-02-10T10:40:00Z</dcterms:created>
  <dc:creator>Donatella Mazzetto</dc:creator>
  <cp:lastModifiedBy>dipasil31788</cp:lastModifiedBy>
  <cp:lastPrinted>2017-05-15T10:29:00Z</cp:lastPrinted>
  <dcterms:modified xsi:type="dcterms:W3CDTF">2021-02-22T13:06:11Z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